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3" w:type="dxa"/>
        <w:tblLook w:val="01E0" w:firstRow="1" w:lastRow="1" w:firstColumn="1" w:lastColumn="1" w:noHBand="0" w:noVBand="0"/>
      </w:tblPr>
      <w:tblGrid>
        <w:gridCol w:w="3923"/>
        <w:gridCol w:w="5450"/>
      </w:tblGrid>
      <w:tr w:rsidR="00B267CE" w:rsidRPr="002039E7" w:rsidTr="00F206AE">
        <w:tc>
          <w:tcPr>
            <w:tcW w:w="3923" w:type="dxa"/>
          </w:tcPr>
          <w:p w:rsidR="00B267CE" w:rsidRPr="00B267CE" w:rsidRDefault="00B267CE" w:rsidP="00F206AE">
            <w:pPr>
              <w:shd w:val="clear" w:color="auto" w:fill="FFFFFF"/>
              <w:spacing w:after="0" w:line="240" w:lineRule="auto"/>
              <w:jc w:val="center"/>
              <w:outlineLvl w:val="2"/>
              <w:rPr>
                <w:rFonts w:asciiTheme="majorHAnsi" w:hAnsiTheme="majorHAnsi" w:cstheme="majorHAnsi"/>
                <w:bCs/>
                <w:sz w:val="26"/>
                <w:szCs w:val="26"/>
              </w:rPr>
            </w:pPr>
            <w:r w:rsidRPr="00B267CE">
              <w:rPr>
                <w:rFonts w:asciiTheme="majorHAnsi" w:hAnsiTheme="majorHAnsi" w:cstheme="majorHAnsi"/>
                <w:bCs/>
                <w:sz w:val="26"/>
                <w:szCs w:val="26"/>
              </w:rPr>
              <w:t>TRƯỜNG THCS TT CÁT BÀ</w:t>
            </w:r>
          </w:p>
          <w:p w:rsidR="00B267CE" w:rsidRPr="00B267CE" w:rsidRDefault="00B267CE" w:rsidP="00F206AE">
            <w:pPr>
              <w:shd w:val="clear" w:color="auto" w:fill="FFFFFF"/>
              <w:spacing w:after="0" w:line="240" w:lineRule="auto"/>
              <w:jc w:val="center"/>
              <w:outlineLvl w:val="2"/>
              <w:rPr>
                <w:rFonts w:asciiTheme="majorHAnsi" w:hAnsiTheme="majorHAnsi" w:cstheme="majorHAnsi"/>
                <w:b/>
                <w:bCs/>
                <w:sz w:val="26"/>
                <w:szCs w:val="26"/>
              </w:rPr>
            </w:pPr>
            <w:r w:rsidRPr="00B267CE">
              <w:rPr>
                <w:rFonts w:asciiTheme="majorHAnsi" w:hAnsiTheme="majorHAnsi" w:cstheme="majorHAnsi"/>
                <w:b/>
                <w:bCs/>
                <w:sz w:val="26"/>
                <w:szCs w:val="26"/>
              </w:rPr>
              <w:t>BỘ PHẬN THƯ VIỆN</w:t>
            </w:r>
          </w:p>
          <w:p w:rsidR="00B267CE" w:rsidRPr="002039E7" w:rsidRDefault="002D0399" w:rsidP="00F206AE">
            <w:pPr>
              <w:spacing w:after="0" w:line="240" w:lineRule="auto"/>
              <w:jc w:val="center"/>
              <w:outlineLvl w:val="2"/>
              <w:rPr>
                <w:rFonts w:asciiTheme="majorHAnsi" w:hAnsiTheme="majorHAnsi" w:cstheme="majorHAnsi"/>
                <w:bCs/>
                <w:i/>
                <w:sz w:val="27"/>
                <w:szCs w:val="27"/>
              </w:rPr>
            </w:pPr>
            <w:r>
              <w:rPr>
                <w:rFonts w:asciiTheme="majorHAnsi" w:hAnsiTheme="majorHAnsi" w:cstheme="majorHAnsi"/>
                <w:sz w:val="27"/>
                <w:szCs w:val="27"/>
              </w:rPr>
              <w:pict>
                <v:line id="_x0000_s1026" style="position:absolute;left:0;text-align:left;z-index:251660288" from="53.7pt,2.5pt" to="130pt,2.5pt"/>
              </w:pict>
            </w:r>
          </w:p>
        </w:tc>
        <w:tc>
          <w:tcPr>
            <w:tcW w:w="5450" w:type="dxa"/>
          </w:tcPr>
          <w:p w:rsidR="00B267CE" w:rsidRPr="002039E7" w:rsidRDefault="00B267CE" w:rsidP="00F206AE">
            <w:pPr>
              <w:spacing w:after="0" w:line="240" w:lineRule="auto"/>
              <w:jc w:val="center"/>
              <w:outlineLvl w:val="2"/>
              <w:rPr>
                <w:rFonts w:asciiTheme="majorHAnsi" w:hAnsiTheme="majorHAnsi" w:cstheme="majorHAnsi"/>
                <w:bCs/>
                <w:i/>
                <w:sz w:val="27"/>
                <w:szCs w:val="27"/>
                <w:lang w:val="en-US"/>
              </w:rPr>
            </w:pPr>
          </w:p>
        </w:tc>
      </w:tr>
    </w:tbl>
    <w:p w:rsidR="00B267CE" w:rsidRPr="002039E7" w:rsidRDefault="00B267CE" w:rsidP="00B267CE">
      <w:pPr>
        <w:shd w:val="clear" w:color="auto" w:fill="FFFFFF"/>
        <w:spacing w:after="0" w:line="240" w:lineRule="auto"/>
        <w:jc w:val="right"/>
        <w:rPr>
          <w:rFonts w:asciiTheme="majorHAnsi" w:hAnsiTheme="majorHAnsi" w:cstheme="majorHAnsi"/>
          <w:bCs/>
          <w:i/>
          <w:sz w:val="27"/>
          <w:szCs w:val="27"/>
        </w:rPr>
      </w:pPr>
    </w:p>
    <w:p w:rsidR="00B267CE" w:rsidRPr="00B267CE" w:rsidRDefault="00B267CE" w:rsidP="00B267CE">
      <w:pPr>
        <w:shd w:val="clear" w:color="auto" w:fill="FFFFFF"/>
        <w:spacing w:after="0" w:line="240" w:lineRule="auto"/>
        <w:jc w:val="center"/>
        <w:rPr>
          <w:rFonts w:asciiTheme="majorHAnsi" w:hAnsiTheme="majorHAnsi" w:cstheme="majorHAnsi"/>
          <w:b/>
          <w:bCs/>
          <w:sz w:val="25"/>
          <w:szCs w:val="27"/>
        </w:rPr>
      </w:pPr>
      <w:r w:rsidRPr="00B267CE">
        <w:rPr>
          <w:rFonts w:asciiTheme="majorHAnsi" w:hAnsiTheme="majorHAnsi" w:cstheme="majorHAnsi"/>
          <w:b/>
          <w:bCs/>
          <w:sz w:val="25"/>
          <w:szCs w:val="27"/>
        </w:rPr>
        <w:t>BÀI TUYÊN TRUYỀN</w:t>
      </w:r>
    </w:p>
    <w:p w:rsidR="00B267CE" w:rsidRPr="002D0399" w:rsidRDefault="002D0399" w:rsidP="00E25726">
      <w:pPr>
        <w:shd w:val="clear" w:color="auto" w:fill="FFFFFF"/>
        <w:jc w:val="center"/>
        <w:textAlignment w:val="baseline"/>
        <w:rPr>
          <w:rFonts w:asciiTheme="majorHAnsi" w:hAnsiTheme="majorHAnsi" w:cstheme="majorHAnsi"/>
          <w:b/>
          <w:color w:val="000000"/>
          <w:sz w:val="26"/>
          <w:szCs w:val="28"/>
          <w:shd w:val="clear" w:color="auto" w:fill="FFFFFF"/>
        </w:rPr>
      </w:pPr>
      <w:r>
        <w:rPr>
          <w:rFonts w:asciiTheme="majorHAnsi" w:hAnsiTheme="majorHAnsi" w:cstheme="majorHAnsi"/>
          <w:noProof/>
          <w:color w:val="000000"/>
          <w:sz w:val="25"/>
          <w:szCs w:val="27"/>
        </w:rPr>
        <w:pict>
          <v:line id="_x0000_s1027" style="position:absolute;left:0;text-align:left;z-index:251661312" from="192.75pt,18.8pt" to="264.75pt,18.8pt"/>
        </w:pict>
      </w:r>
      <w:r w:rsidR="00B267CE" w:rsidRPr="00E25726">
        <w:rPr>
          <w:rFonts w:asciiTheme="majorHAnsi" w:hAnsiTheme="majorHAnsi" w:cstheme="majorHAnsi"/>
          <w:b/>
          <w:color w:val="000000"/>
          <w:sz w:val="26"/>
          <w:szCs w:val="28"/>
          <w:shd w:val="clear" w:color="auto" w:fill="FFFFFF"/>
        </w:rPr>
        <w:t>Luật căn cước công dân</w:t>
      </w:r>
    </w:p>
    <w:p w:rsidR="00E25726" w:rsidRPr="002D0399" w:rsidRDefault="00E25726" w:rsidP="00E25726">
      <w:pPr>
        <w:shd w:val="clear" w:color="auto" w:fill="FFFFFF"/>
        <w:jc w:val="center"/>
        <w:textAlignment w:val="baseline"/>
        <w:rPr>
          <w:rFonts w:asciiTheme="majorHAnsi" w:hAnsiTheme="majorHAnsi" w:cstheme="majorHAnsi"/>
          <w:b/>
          <w:color w:val="000000"/>
          <w:sz w:val="2"/>
          <w:szCs w:val="28"/>
          <w:shd w:val="clear" w:color="auto" w:fill="FFFFFF"/>
        </w:rPr>
      </w:pPr>
    </w:p>
    <w:tbl>
      <w:tblPr>
        <w:tblStyle w:val="TableGrid"/>
        <w:tblW w:w="8546" w:type="dxa"/>
        <w:jc w:val="center"/>
        <w:tblInd w:w="-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40"/>
        <w:gridCol w:w="2988"/>
        <w:gridCol w:w="3218"/>
      </w:tblGrid>
      <w:tr w:rsidR="00E25726" w:rsidTr="00E00854">
        <w:trPr>
          <w:jc w:val="center"/>
        </w:trPr>
        <w:tc>
          <w:tcPr>
            <w:tcW w:w="2340" w:type="dxa"/>
          </w:tcPr>
          <w:p w:rsidR="00E25726" w:rsidRDefault="00E25726" w:rsidP="00E25726">
            <w:pPr>
              <w:jc w:val="center"/>
              <w:rPr>
                <w:sz w:val="26"/>
              </w:rPr>
            </w:pPr>
            <w:r w:rsidRPr="00F70EA0">
              <w:rPr>
                <w:sz w:val="26"/>
              </w:rPr>
              <w:t>Ngày tuyên truyền</w:t>
            </w:r>
          </w:p>
        </w:tc>
        <w:tc>
          <w:tcPr>
            <w:tcW w:w="2988" w:type="dxa"/>
          </w:tcPr>
          <w:p w:rsidR="00E25726" w:rsidRDefault="00E25726" w:rsidP="00E25726">
            <w:pPr>
              <w:jc w:val="center"/>
              <w:rPr>
                <w:sz w:val="26"/>
              </w:rPr>
            </w:pPr>
            <w:r w:rsidRPr="00F70EA0">
              <w:rPr>
                <w:sz w:val="26"/>
              </w:rPr>
              <w:t>Hình thức tuyên truyền</w:t>
            </w:r>
          </w:p>
        </w:tc>
        <w:tc>
          <w:tcPr>
            <w:tcW w:w="3218" w:type="dxa"/>
          </w:tcPr>
          <w:p w:rsidR="00E25726" w:rsidRDefault="00E25726" w:rsidP="00E25726">
            <w:pPr>
              <w:jc w:val="center"/>
              <w:rPr>
                <w:sz w:val="26"/>
              </w:rPr>
            </w:pPr>
            <w:r w:rsidRPr="00F70EA0">
              <w:rPr>
                <w:sz w:val="26"/>
              </w:rPr>
              <w:t>Người tuyên truyền</w:t>
            </w:r>
          </w:p>
        </w:tc>
      </w:tr>
      <w:tr w:rsidR="00E25726" w:rsidTr="00E00854">
        <w:trPr>
          <w:jc w:val="center"/>
        </w:trPr>
        <w:tc>
          <w:tcPr>
            <w:tcW w:w="2340" w:type="dxa"/>
          </w:tcPr>
          <w:p w:rsidR="00E25726" w:rsidRDefault="00E25726" w:rsidP="00E25726">
            <w:pPr>
              <w:jc w:val="both"/>
              <w:rPr>
                <w:sz w:val="26"/>
              </w:rPr>
            </w:pPr>
          </w:p>
        </w:tc>
        <w:tc>
          <w:tcPr>
            <w:tcW w:w="2988" w:type="dxa"/>
          </w:tcPr>
          <w:p w:rsidR="00E25726" w:rsidRDefault="00E25726" w:rsidP="00E25726">
            <w:pPr>
              <w:jc w:val="both"/>
              <w:rPr>
                <w:sz w:val="26"/>
              </w:rPr>
            </w:pPr>
          </w:p>
        </w:tc>
        <w:tc>
          <w:tcPr>
            <w:tcW w:w="3218" w:type="dxa"/>
          </w:tcPr>
          <w:p w:rsidR="00E25726" w:rsidRDefault="00E25726" w:rsidP="00E25726">
            <w:pPr>
              <w:jc w:val="both"/>
              <w:rPr>
                <w:sz w:val="26"/>
              </w:rPr>
            </w:pPr>
          </w:p>
        </w:tc>
      </w:tr>
      <w:tr w:rsidR="00E25726" w:rsidTr="00E00854">
        <w:trPr>
          <w:jc w:val="center"/>
        </w:trPr>
        <w:tc>
          <w:tcPr>
            <w:tcW w:w="2340" w:type="dxa"/>
          </w:tcPr>
          <w:p w:rsidR="00E25726" w:rsidRDefault="00E25726" w:rsidP="00E25726">
            <w:pPr>
              <w:jc w:val="both"/>
              <w:rPr>
                <w:sz w:val="26"/>
              </w:rPr>
            </w:pPr>
          </w:p>
        </w:tc>
        <w:tc>
          <w:tcPr>
            <w:tcW w:w="2988" w:type="dxa"/>
          </w:tcPr>
          <w:p w:rsidR="00E25726" w:rsidRDefault="00E25726" w:rsidP="00E25726">
            <w:pPr>
              <w:jc w:val="both"/>
              <w:rPr>
                <w:sz w:val="26"/>
              </w:rPr>
            </w:pPr>
          </w:p>
        </w:tc>
        <w:tc>
          <w:tcPr>
            <w:tcW w:w="3218" w:type="dxa"/>
          </w:tcPr>
          <w:p w:rsidR="00E25726" w:rsidRDefault="00E25726" w:rsidP="00E25726">
            <w:pPr>
              <w:jc w:val="both"/>
              <w:rPr>
                <w:sz w:val="26"/>
              </w:rPr>
            </w:pPr>
          </w:p>
        </w:tc>
      </w:tr>
      <w:tr w:rsidR="00E25726" w:rsidTr="00E00854">
        <w:trPr>
          <w:jc w:val="center"/>
        </w:trPr>
        <w:tc>
          <w:tcPr>
            <w:tcW w:w="2340" w:type="dxa"/>
          </w:tcPr>
          <w:p w:rsidR="00E25726" w:rsidRDefault="00E25726" w:rsidP="00E25726">
            <w:pPr>
              <w:jc w:val="both"/>
              <w:rPr>
                <w:sz w:val="26"/>
              </w:rPr>
            </w:pPr>
          </w:p>
        </w:tc>
        <w:tc>
          <w:tcPr>
            <w:tcW w:w="2988" w:type="dxa"/>
          </w:tcPr>
          <w:p w:rsidR="00E25726" w:rsidRDefault="00E25726" w:rsidP="00E25726">
            <w:pPr>
              <w:jc w:val="both"/>
              <w:rPr>
                <w:sz w:val="26"/>
              </w:rPr>
            </w:pPr>
          </w:p>
        </w:tc>
        <w:tc>
          <w:tcPr>
            <w:tcW w:w="3218" w:type="dxa"/>
          </w:tcPr>
          <w:p w:rsidR="00E25726" w:rsidRDefault="00E25726" w:rsidP="00E25726">
            <w:pPr>
              <w:jc w:val="both"/>
              <w:rPr>
                <w:sz w:val="26"/>
              </w:rPr>
            </w:pPr>
          </w:p>
        </w:tc>
      </w:tr>
    </w:tbl>
    <w:p w:rsidR="002D0399" w:rsidRPr="002D0399"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bdr w:val="none" w:sz="0" w:space="0" w:color="auto" w:frame="1"/>
          <w:lang w:eastAsia="vi-VN"/>
        </w:rPr>
      </w:pPr>
      <w:r w:rsidRPr="00B267CE">
        <w:rPr>
          <w:rFonts w:asciiTheme="majorHAnsi" w:eastAsia="Times New Roman" w:hAnsiTheme="majorHAnsi" w:cstheme="majorHAnsi"/>
          <w:color w:val="000000"/>
          <w:sz w:val="26"/>
          <w:szCs w:val="28"/>
          <w:bdr w:val="none" w:sz="0" w:space="0" w:color="auto" w:frame="1"/>
          <w:lang w:eastAsia="vi-VN"/>
        </w:rPr>
        <w:t>Luật Căn cước công dân đã được Quốc hội nước Cộng hòa xã hội chủ nghĩa Việt Nam khóa XIII, kỳ họp thứ 8 thông qua ngày 20/11/2014, có hiệu l</w:t>
      </w:r>
      <w:r w:rsidR="002D0399">
        <w:rPr>
          <w:rFonts w:asciiTheme="majorHAnsi" w:eastAsia="Times New Roman" w:hAnsiTheme="majorHAnsi" w:cstheme="majorHAnsi"/>
          <w:color w:val="000000"/>
          <w:sz w:val="26"/>
          <w:szCs w:val="28"/>
          <w:bdr w:val="none" w:sz="0" w:space="0" w:color="auto" w:frame="1"/>
          <w:lang w:eastAsia="vi-VN"/>
        </w:rPr>
        <w:t>ực thi hành từ ngày 01/01/2016.Cụ thể:</w:t>
      </w:r>
      <w:bookmarkStart w:id="0" w:name="_GoBack"/>
      <w:bookmarkEnd w:id="0"/>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3. Giải thích từ ngữ</w:t>
      </w:r>
    </w:p>
    <w:p w:rsidR="00B267CE" w:rsidRPr="00E25726"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 Căn cước công dân là thông tin cơ bản về lai lịch, nhân dạng của công dân theo quy định của Luật này.</w:t>
      </w:r>
    </w:p>
    <w:p w:rsidR="00B267CE" w:rsidRPr="00E25726"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 - Cơ sở dữ liệu quốc gia về dân cư là tập hợp thông tin cơ bản của tất cả công dân Việt Nam được chuẩn hóa, số hóa, lưu trữ, quản lý bằng cơ sở hạ tầng thông tin để phục vụ quản lý nhà nước và giao dịch của cơ quan, tổ chức, cá nhân.</w:t>
      </w:r>
    </w:p>
    <w:p w:rsidR="00B267CE" w:rsidRPr="00E25726"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 Cơ sở dữ liệu căn cước công dân là cơ sở dữ liệu chuyên ngành, tập hợp thông tin về căn cước công dân Việt Nam, được số hóa, lưu trữ, quản lý bằng cơ sở hạ tầng thông tin và là bộ phận của Cơ sở dữ liệu quốc gia về dân cư.</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 Cơ quan quản lý căn cước công dân là cơ quan chuyên trách thuộc Công an nhân dân, làm nhiệm vụ quản lý căn cước công dân,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5. Quyền và nghĩa vụ của công dân về căn cước công dân,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1. Công dân có quyền sau đây: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a) Được bảo đảm bí mật cá nhân, bí mật gia đình trong Cơ sở dữ liệu quốc gia về dân cư và Cơ sở dữ liệu căn cước công dân, trừ trường hợp cung cấp thông tin, tài liệu theo luật định;</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b) Yêu cầu cơ quan quản lý căn cước công dân cập nhật, chỉnh sửa thông tin khi thông tin trong Cơ sở dữ liệu quốc gia về dân cư, Cơ sở dữ liệu căn cước công dân hoặc thẻ Căn cước công dân chưa có, chưa chính xác hoặc có sự thay đổi theo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c) Được cấp, đổi, cấp lại thẻ Căn cước công dân theo quy định của Luật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d) Sử dụng thẻ Căn cước công dân của mình trong giao dịch, thực hiện</w:t>
      </w:r>
      <w:r w:rsidRPr="00B267CE">
        <w:rPr>
          <w:rFonts w:asciiTheme="majorHAnsi" w:eastAsia="Times New Roman" w:hAnsiTheme="majorHAnsi" w:cstheme="majorHAnsi"/>
          <w:color w:val="000000"/>
          <w:sz w:val="26"/>
          <w:szCs w:val="28"/>
          <w:lang w:eastAsia="vi-VN"/>
        </w:rPr>
        <w:t xml:space="preserve"> </w:t>
      </w:r>
      <w:r w:rsidRPr="00B267CE">
        <w:rPr>
          <w:rFonts w:asciiTheme="majorHAnsi" w:eastAsia="Times New Roman" w:hAnsiTheme="majorHAnsi" w:cstheme="majorHAnsi"/>
          <w:color w:val="000000"/>
          <w:sz w:val="26"/>
          <w:szCs w:val="28"/>
          <w:bdr w:val="none" w:sz="0" w:space="0" w:color="auto" w:frame="1"/>
          <w:lang w:eastAsia="vi-VN"/>
        </w:rPr>
        <w:t>quyền, lợi ích hợp pháp của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 đ) Khiếu nại, tố cáo, khởi kiện theo quy định của pháp luật đối với hành vi vi phạm pháp luật về căn cước công dân,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Công dân có nghĩa vụ sau đây: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a) Chấp hành quy định của Luật này và pháp luật có liên quan;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lastRenderedPageBreak/>
        <w:t>b) Làm thủ tục cấp, đổi, cấp lại thẻ Căn cước công dân theo quy định của Luật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c) Cung cấp đầy đủ, chính xác, đúng thời hạn thông tin, tài liệu của bản thân để cập nhật vào Cơ sở dữ liệu quốc gia về dân cư và Cơ sở dữ liệu căn cước công dân theo quy định của Luật này và pháp luật có liên quan;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d) Xuất trình thẻ Căn cước công dân khi người có thẩm quyền yêu cầu kiểm tra theo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đ) Bảo quản, giữ gìn thẻ Căn cước công dân đã được cấp; khi mất phải kịp thời trình báo với cơ quan quản lý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e) Nộp lại thẻ Căn cước công dân cho cơ quan có thẩm quyền trong trường hợp đổi, bị thu hồi, tạm giữ thẻ theo quy định tại Điều 23 và Điều 28 của Luật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3. Người đang mắc bệnh tâm thần hoặc bệnh khác làm mất khả năng nhận thức, khả năng điều khiển hành vi thông qua người đại diện hợp pháp của mình thực hiện quyền và nghĩa vụ được quy định tại Điều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7. Các hành vi bị nghiêm cấm</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1. Cản trở thực hiện các quy định của Luật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Cấp, đổi, cấp lại thẻ Căn cước công dân trái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3. Sách nhiễu, gây phiền hà khi giải quyết thủ tục về căn cước công dân,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4. Làm sai lệch sổ sách, hồ sơ về công dân, Cơ sở dữ liệu quốc gia về dân cư và Cơ sở dữ liệu căn cước công dân; không cung cấp, cung cấp không đầy đủ, cung cấp trái quy định của pháp luật thông tin, tài liệu về căn cước công dân, Cơ sở dữ liệu quốc gia về dân cư và Cơ sở dữ liệu căn cước công dân; lạm dụng thông tin về công dân theo quy định của Luật này gây thiệt hại cho cơ quan, tổ chức, cá nhân.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5. Làm lộ bí mật thông tin thuộc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6. Thu, sử dụng phí, lệ phí trái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7. Làm giả, sửa chữa, làm sai lệch nội dung thẻ Căn cước công dân; chiếm đoạt, sử dụng trái phép thẻ Căn cước công dân của người khác; thuê, cho thuê, mượn, cho mượn, cầm cố, nhận cầm cố, hủy hoại thẻ Căn cước công dân; sử dụng thẻ Căn cước công dân giả.</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8. Truy nhập trái phép, làm thay đổi, xóa, hủy, phát tán thông tin trong Cơ sở dữ liệu quốc gia về dân cư và Cơ sở dữ liệu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9. Thu hồi, tạm giữ thẻ Căn cước công dân trái quy định của pháp luật. Điều 12. Số định danh cá nhân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1. Số định danh cá nhân được xác lập từ Cơ sở dữ liệu quốc gia về dân cư dùng để kết nối, cập nhật, chia sẻ, khai thác thông tin của công dân trong Cơ sở dữ liệu quốc gia về dân cư và các cơ sở dữ liệu chuyên ngành.</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Số định danh cá nhân do Bộ Công an thống nhất quản lý trên toàn quốc và cấp cho mỗi công dân Việt Nam, không lặp lại ở người khác.</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19. Người được cấp thẻ Căn cước công dân và số thẻ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1. Công dân Việt Nam từ đủ 14 tuổi được cấp thẻ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Số thẻ Căn cước công dân là số định danh cá nhân.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20. Giá trị sử dụng của thẻ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lastRenderedPageBreak/>
        <w:t>1. Thẻ Căn cước công dân là giấy tờ tùy thân của công dân Việt Nam có giá trị chứng minh về căn cước công dân của người được cấp thẻ để thực hiện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các giao dịch trên lãnh thổ Việt Nam.</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Thẻ Căn cước công dân được sử dụng thay cho việc sử dụng hộ chiếu trong trường hợp Việt Nam và nước ngoài ký kết điều ước hoặc thỏa thuận quốc tế cho phép công dân nước ký kết được sử dụng thẻ Căn cước công dân thay cho việc sử dụng hộ chiếu trên lãnh thổ của nhau.</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3. Cơ quan, tổ chức, cá nhân có thẩm quyền được yêu cầu công dân xuất trình thẻ Căn cước công dân để kiểm tra về căn cước và các thông tin quy định tại Điều 18 của Luật này; được sử dụng số định danh cá nhân trên thẻ Căn cước công dân để kiểm tra thông tin của người được cấp thẻ trong Cơ sở dữ liệu quốc gia về dân cư và cơ sở dữ liệu chuyên ngành theo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Khi công dân xuất trình thẻ Căn cước công dân theo yêu cầu của cơ quan, tổ chức, cá nhân có thẩm quyền thì cơ quan, tổ chức, cá nhân có thẩm quyền đó không được yêu cầu công dân xuất trình thêm giấy tờ khác chứng nhận các thông tin quy định tại khoản 1 và khoản 3 Điều này.</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4. Nhà nước bảo hộ quyền, lợi ích chính đáng của người được cấp thẻ Căn cước công dân theo quy định của pháp luật.</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sz w:val="26"/>
          <w:szCs w:val="28"/>
          <w:lang w:eastAsia="vi-VN"/>
        </w:rPr>
      </w:pPr>
      <w:r w:rsidRPr="00B267CE">
        <w:rPr>
          <w:rFonts w:asciiTheme="majorHAnsi" w:eastAsia="Times New Roman" w:hAnsiTheme="majorHAnsi" w:cstheme="majorHAnsi"/>
          <w:b/>
          <w:bCs/>
          <w:sz w:val="26"/>
          <w:szCs w:val="28"/>
          <w:lang w:eastAsia="vi-VN"/>
        </w:rPr>
        <w:t>Điều 21. Độ tuổi đổi thẻ Căn cước công dân</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1. Thẻ Căn cước công dân phải được đổi khi công dân đủ 25 tuổi, đủ 40 tuổi và đủ 60 tuổi.</w:t>
      </w:r>
    </w:p>
    <w:p w:rsidR="00B267CE" w:rsidRPr="00B267CE" w:rsidRDefault="00B267CE" w:rsidP="00E25726">
      <w:pPr>
        <w:shd w:val="clear" w:color="auto" w:fill="FFFFFF"/>
        <w:spacing w:before="60" w:after="0" w:line="240" w:lineRule="auto"/>
        <w:ind w:firstLine="720"/>
        <w:jc w:val="both"/>
        <w:textAlignment w:val="baseline"/>
        <w:rPr>
          <w:rFonts w:asciiTheme="majorHAnsi" w:eastAsia="Times New Roman" w:hAnsiTheme="majorHAnsi" w:cstheme="majorHAnsi"/>
          <w:color w:val="000000"/>
          <w:sz w:val="26"/>
          <w:szCs w:val="28"/>
          <w:lang w:eastAsia="vi-VN"/>
        </w:rPr>
      </w:pPr>
      <w:r w:rsidRPr="00B267CE">
        <w:rPr>
          <w:rFonts w:asciiTheme="majorHAnsi" w:eastAsia="Times New Roman" w:hAnsiTheme="majorHAnsi" w:cstheme="majorHAnsi"/>
          <w:color w:val="000000"/>
          <w:sz w:val="26"/>
          <w:szCs w:val="28"/>
          <w:bdr w:val="none" w:sz="0" w:space="0" w:color="auto" w:frame="1"/>
          <w:lang w:eastAsia="vi-VN"/>
        </w:rPr>
        <w:t>2. Trường hợp thẻ Căn cước công dân được cấp, đổi, cấp lại trong thời hạn 2 năm trước tuổi quy định tại khoản 1 Điều này thì vẫn có giá trị sử dụng</w:t>
      </w:r>
      <w:r w:rsidRPr="00B267CE">
        <w:rPr>
          <w:rFonts w:asciiTheme="majorHAnsi" w:eastAsia="Times New Roman" w:hAnsiTheme="majorHAnsi" w:cstheme="majorHAnsi"/>
          <w:color w:val="000000"/>
          <w:sz w:val="26"/>
          <w:szCs w:val="28"/>
          <w:lang w:eastAsia="vi-VN"/>
        </w:rPr>
        <w:t xml:space="preserve"> </w:t>
      </w:r>
      <w:r w:rsidRPr="00B267CE">
        <w:rPr>
          <w:rFonts w:asciiTheme="majorHAnsi" w:eastAsia="Times New Roman" w:hAnsiTheme="majorHAnsi" w:cstheme="majorHAnsi"/>
          <w:color w:val="000000"/>
          <w:sz w:val="26"/>
          <w:szCs w:val="28"/>
          <w:bdr w:val="none" w:sz="0" w:space="0" w:color="auto" w:frame="1"/>
          <w:lang w:eastAsia="vi-VN"/>
        </w:rPr>
        <w:t>đến tuổi đổi thẻ tiếp theo.</w:t>
      </w:r>
    </w:p>
    <w:p w:rsidR="00AE6DDE" w:rsidRPr="00B267CE" w:rsidRDefault="00AE6DDE" w:rsidP="00E25726">
      <w:pPr>
        <w:spacing w:before="60" w:after="0" w:line="240" w:lineRule="auto"/>
        <w:ind w:firstLine="720"/>
        <w:rPr>
          <w:rFonts w:asciiTheme="majorHAnsi" w:hAnsiTheme="majorHAnsi" w:cstheme="majorHAnsi"/>
          <w:sz w:val="26"/>
          <w:szCs w:val="28"/>
        </w:rPr>
      </w:pPr>
    </w:p>
    <w:sectPr w:rsidR="00AE6DDE" w:rsidRPr="00B267CE" w:rsidSect="009224D5">
      <w:pgSz w:w="11907" w:h="16840" w:code="9"/>
      <w:pgMar w:top="1134" w:right="851"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267CE"/>
    <w:rsid w:val="002D0399"/>
    <w:rsid w:val="00537152"/>
    <w:rsid w:val="006E3686"/>
    <w:rsid w:val="007C0D9B"/>
    <w:rsid w:val="007E0D26"/>
    <w:rsid w:val="009224D5"/>
    <w:rsid w:val="00AE6DDE"/>
    <w:rsid w:val="00B13EB9"/>
    <w:rsid w:val="00B267CE"/>
    <w:rsid w:val="00B666DA"/>
    <w:rsid w:val="00DB35C4"/>
    <w:rsid w:val="00E257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7CE"/>
    <w:rPr>
      <w:b/>
      <w:bCs/>
    </w:rPr>
  </w:style>
  <w:style w:type="table" w:styleId="TableGrid">
    <w:name w:val="Table Grid"/>
    <w:basedOn w:val="TableNormal"/>
    <w:rsid w:val="00E2572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5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5580</Characters>
  <Application>Microsoft Office Word</Application>
  <DocSecurity>0</DocSecurity>
  <Lines>46</Lines>
  <Paragraphs>13</Paragraphs>
  <ScaleCrop>false</ScaleCrop>
  <Company>SkyUN.Org</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Administrator</cp:lastModifiedBy>
  <cp:revision>3</cp:revision>
  <cp:lastPrinted>2023-03-30T10:52:00Z</cp:lastPrinted>
  <dcterms:created xsi:type="dcterms:W3CDTF">2022-01-11T08:19:00Z</dcterms:created>
  <dcterms:modified xsi:type="dcterms:W3CDTF">2023-05-03T08:16:00Z</dcterms:modified>
</cp:coreProperties>
</file>