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BE0E8" w14:textId="77777777" w:rsidR="008074CA" w:rsidRPr="008074CA" w:rsidRDefault="008074CA" w:rsidP="008074CA">
      <w:pPr>
        <w:shd w:val="clear" w:color="auto" w:fill="FCFAF6"/>
        <w:spacing w:after="225" w:line="720" w:lineRule="atLeast"/>
        <w:jc w:val="center"/>
        <w:outlineLvl w:val="0"/>
        <w:rPr>
          <w:rFonts w:eastAsia="Times New Roman" w:cs="Times New Roman"/>
          <w:b/>
          <w:bCs/>
          <w:color w:val="222222"/>
          <w:kern w:val="36"/>
          <w:sz w:val="50"/>
          <w:szCs w:val="48"/>
        </w:rPr>
      </w:pPr>
      <w:r w:rsidRPr="008074CA">
        <w:rPr>
          <w:rFonts w:eastAsia="Times New Roman" w:cs="Times New Roman"/>
          <w:b/>
          <w:bCs/>
          <w:color w:val="222222"/>
          <w:kern w:val="36"/>
          <w:sz w:val="50"/>
          <w:szCs w:val="48"/>
        </w:rPr>
        <w:t>Dự kiến cần 130.000 tỷ đồng giải quyết chế độ khi tinh gọn bộ máy</w:t>
      </w:r>
    </w:p>
    <w:p w14:paraId="344013C7" w14:textId="77777777" w:rsidR="008074CA" w:rsidRPr="008074CA" w:rsidRDefault="008074CA" w:rsidP="008074CA">
      <w:pPr>
        <w:shd w:val="clear" w:color="auto" w:fill="FCFAF6"/>
        <w:spacing w:after="225" w:line="432" w:lineRule="atLeast"/>
        <w:ind w:firstLine="720"/>
        <w:jc w:val="both"/>
        <w:rPr>
          <w:rFonts w:eastAsia="Times New Roman" w:cs="Times New Roman"/>
          <w:color w:val="222222"/>
          <w:szCs w:val="28"/>
        </w:rPr>
      </w:pPr>
      <w:r w:rsidRPr="008074CA">
        <w:rPr>
          <w:rFonts w:eastAsia="Times New Roman" w:cs="Times New Roman"/>
          <w:color w:val="222222"/>
          <w:szCs w:val="28"/>
        </w:rPr>
        <w:t>Bộ Nội vụ dự kiến cần 130.000 tỷ đồng để thực hiện chế độ, chính sách với cán bộ, công chức, viên chức, người lao động khi sắp xếp bộ máy.</w:t>
      </w:r>
    </w:p>
    <w:p w14:paraId="19437790" w14:textId="77777777" w:rsidR="008074CA" w:rsidRPr="008074CA" w:rsidRDefault="008074CA" w:rsidP="008074CA">
      <w:pPr>
        <w:spacing w:after="240" w:line="432" w:lineRule="atLeast"/>
        <w:ind w:firstLine="720"/>
        <w:jc w:val="both"/>
        <w:rPr>
          <w:rFonts w:eastAsia="Times New Roman" w:cs="Times New Roman"/>
          <w:szCs w:val="28"/>
        </w:rPr>
      </w:pPr>
      <w:r w:rsidRPr="008074CA">
        <w:rPr>
          <w:rFonts w:eastAsia="Times New Roman" w:cs="Times New Roman"/>
          <w:szCs w:val="28"/>
        </w:rPr>
        <w:t>Bộ Nội vụ vừa trình Chính phủ dự thảo nghị định về chế độ, chính sách của cán bộ, công chức, viên chức và người lao động trong quá trình sắp xếp tổ chức bộ máy của hệ thống chính trị.</w:t>
      </w:r>
    </w:p>
    <w:p w14:paraId="4C4E809D" w14:textId="77777777" w:rsidR="008074CA" w:rsidRPr="008074CA" w:rsidRDefault="008074CA" w:rsidP="008074CA">
      <w:pPr>
        <w:spacing w:after="240" w:line="432" w:lineRule="atLeast"/>
        <w:ind w:firstLine="720"/>
        <w:jc w:val="both"/>
        <w:rPr>
          <w:rFonts w:eastAsia="Times New Roman" w:cs="Times New Roman"/>
          <w:szCs w:val="28"/>
        </w:rPr>
      </w:pPr>
      <w:r w:rsidRPr="008074CA">
        <w:rPr>
          <w:rFonts w:eastAsia="Times New Roman" w:cs="Times New Roman"/>
          <w:szCs w:val="28"/>
        </w:rPr>
        <w:t>Trong đó, 111.000 tỷ đồng dùng để thực hiện chế độ chính sách với cán bộ, công chức, viên chức; 4.000 tỷ đồng cho người lao động; 9.000 tỷ đồng dành cho cán bộ, công chức cấp xã; 4.000 tỷ đồng để đóng bảo hiểm xã hội; và 2.000 tỷ đồng cho đào tạo, bồi dưỡng. Nguồn kinh phí này sẽ được cấp từ ngân sách nhà nước và nguồn thu của các đơn vị sự nghiệp công lập.</w:t>
      </w:r>
    </w:p>
    <w:p w14:paraId="26ADDF20" w14:textId="77777777" w:rsidR="008074CA" w:rsidRPr="008074CA" w:rsidRDefault="008074CA" w:rsidP="008074CA">
      <w:pPr>
        <w:spacing w:after="240" w:line="432" w:lineRule="atLeast"/>
        <w:ind w:firstLine="720"/>
        <w:jc w:val="both"/>
        <w:rPr>
          <w:rFonts w:eastAsia="Times New Roman" w:cs="Times New Roman"/>
          <w:szCs w:val="28"/>
        </w:rPr>
      </w:pPr>
      <w:r w:rsidRPr="008074CA">
        <w:rPr>
          <w:rFonts w:eastAsia="Times New Roman" w:cs="Times New Roman"/>
          <w:szCs w:val="28"/>
        </w:rPr>
        <w:t>Bộ Nội vụ cho biết việc tinh giản biên chế sẽ giúp giảm chi thường xuyên và giảm gánh nặng từ ngân sách nhà nước cho các khoản bảo hiểm xã hội, bảo hiểm y tế và phí công đoàn cho cán bộ, công chức nghỉ việc. Dự kiến, trong 5 năm tới, ngân sách nhà nước sẽ tiết kiệm khoảng 113.000 tỷ đồng.</w:t>
      </w:r>
    </w:p>
    <w:p w14:paraId="7113F5E9" w14:textId="77559D5F" w:rsidR="008074CA" w:rsidRPr="008074CA" w:rsidRDefault="008074CA" w:rsidP="008074CA">
      <w:pPr>
        <w:spacing w:after="240" w:line="432" w:lineRule="atLeast"/>
        <w:ind w:firstLine="720"/>
        <w:jc w:val="both"/>
        <w:rPr>
          <w:rFonts w:eastAsia="Times New Roman" w:cs="Times New Roman"/>
          <w:szCs w:val="28"/>
        </w:rPr>
      </w:pPr>
      <w:r w:rsidRPr="008074CA">
        <w:rPr>
          <w:rFonts w:eastAsia="Times New Roman" w:cs="Times New Roman"/>
          <w:i/>
          <w:iCs/>
          <w:szCs w:val="28"/>
        </w:rPr>
        <w:t>Đối với người nghỉ hưu trước tuổi, </w:t>
      </w:r>
      <w:r w:rsidRPr="008074CA">
        <w:rPr>
          <w:rFonts w:eastAsia="Times New Roman" w:cs="Times New Roman"/>
          <w:szCs w:val="28"/>
        </w:rPr>
        <w:t>nếu còn đủ 10 năm trở xuống trong điều kiện làm việc bình thường, hoặc còn từ 5 năm trở xuống so với tuổi nghỉ hưu ở vùng đặc biệt khó khăn, họ sẽ được hưởng ba chế độ.</w:t>
      </w:r>
    </w:p>
    <w:p w14:paraId="25CDCDBA" w14:textId="77777777" w:rsidR="008074CA" w:rsidRPr="008074CA" w:rsidRDefault="008074CA" w:rsidP="008074CA">
      <w:pPr>
        <w:spacing w:after="240" w:line="432" w:lineRule="atLeast"/>
        <w:ind w:firstLine="720"/>
        <w:jc w:val="both"/>
        <w:rPr>
          <w:rFonts w:eastAsia="Times New Roman" w:cs="Times New Roman"/>
          <w:szCs w:val="28"/>
        </w:rPr>
      </w:pPr>
      <w:r w:rsidRPr="008074CA">
        <w:rPr>
          <w:rFonts w:eastAsia="Times New Roman" w:cs="Times New Roman"/>
          <w:szCs w:val="28"/>
        </w:rPr>
        <w:t>Thứ nhất là trợ cấp hưu trí một lần cho thời gian nghỉ sớm. Nếu nghỉ trong 12 tháng với độ tuổi còn dưới 5 năm đến tuổi nghỉ hưu, họ sẽ được hưởng trợ cấp bằng một tháng tiền lương hiện hưởng nhân với số tháng nghỉ sớm. Nếu có độ tuổi còn từ 5 đến 10 năm, trợ cấp tương ứng sẽ là 0,9 tháng tiền lương cho mỗi tháng nghỉ sớm (tối đa 60 tháng). Nếu nghỉ từ tháng thứ 13 trở đi, mức trợ cấp sẽ là 0,5 của mức trợ cấp trước đó.</w:t>
      </w:r>
    </w:p>
    <w:p w14:paraId="635A2991" w14:textId="77777777" w:rsidR="008074CA" w:rsidRPr="008074CA" w:rsidRDefault="008074CA" w:rsidP="008074CA">
      <w:pPr>
        <w:spacing w:after="240" w:line="432" w:lineRule="atLeast"/>
        <w:ind w:firstLine="720"/>
        <w:jc w:val="both"/>
        <w:rPr>
          <w:rFonts w:eastAsia="Times New Roman" w:cs="Times New Roman"/>
          <w:szCs w:val="28"/>
        </w:rPr>
      </w:pPr>
      <w:r w:rsidRPr="008074CA">
        <w:rPr>
          <w:rFonts w:eastAsia="Times New Roman" w:cs="Times New Roman"/>
          <w:szCs w:val="28"/>
        </w:rPr>
        <w:t xml:space="preserve">Thứ hai là nhận lương hưu mà không bị trừ tỷ lệ nghỉ hưu sớm, cùng với trợ cấp nghỉ hưu trước tuổi. Nếu còn từ 2 đến 5 năm, cán bộ công chức sẽ được trợ cấp bằng 5 tháng lương hiện hưởng cho mỗi năm nghỉ sớm; nếu còn trên 5 </w:t>
      </w:r>
      <w:r w:rsidRPr="008074CA">
        <w:rPr>
          <w:rFonts w:eastAsia="Times New Roman" w:cs="Times New Roman"/>
          <w:szCs w:val="28"/>
        </w:rPr>
        <w:lastRenderedPageBreak/>
        <w:t>năm đến 10 năm, trợ cấp sẽ là 4 tháng lương cho mỗi năm nghỉ sớm. Những người này cũng sẽ được hưởng trợ cấp theo thời gian công tác có trên 20 năm đóng bảo hiểm xã hội bắt buộc.</w:t>
      </w:r>
    </w:p>
    <w:p w14:paraId="14F98714" w14:textId="77777777" w:rsidR="008074CA" w:rsidRPr="008074CA" w:rsidRDefault="008074CA" w:rsidP="008074CA">
      <w:pPr>
        <w:spacing w:after="240" w:line="432" w:lineRule="atLeast"/>
        <w:ind w:firstLine="720"/>
        <w:jc w:val="both"/>
        <w:rPr>
          <w:rFonts w:eastAsia="Times New Roman" w:cs="Times New Roman"/>
          <w:szCs w:val="28"/>
        </w:rPr>
      </w:pPr>
      <w:r w:rsidRPr="008074CA">
        <w:rPr>
          <w:rFonts w:eastAsia="Times New Roman" w:cs="Times New Roman"/>
          <w:szCs w:val="28"/>
        </w:rPr>
        <w:t>Thứ ba là nếu còn thiếu thời gian giữ chức vụ lãnh đạo để được khen thưởng, cán bộ công chức cũng sẽ được xem xét khen thưởng.</w:t>
      </w:r>
    </w:p>
    <w:p w14:paraId="43BFD738" w14:textId="77777777" w:rsidR="008074CA" w:rsidRPr="008074CA" w:rsidRDefault="008074CA" w:rsidP="008074CA">
      <w:pPr>
        <w:spacing w:after="0" w:line="432" w:lineRule="atLeast"/>
        <w:ind w:firstLine="720"/>
        <w:jc w:val="both"/>
        <w:rPr>
          <w:rFonts w:eastAsia="Times New Roman" w:cs="Times New Roman"/>
          <w:szCs w:val="28"/>
        </w:rPr>
      </w:pPr>
      <w:r w:rsidRPr="008074CA">
        <w:rPr>
          <w:rFonts w:eastAsia="Times New Roman" w:cs="Times New Roman"/>
          <w:i/>
          <w:iCs/>
          <w:szCs w:val="28"/>
        </w:rPr>
        <w:t>Cán bộ đã quá tuổi nghỉ hưu</w:t>
      </w:r>
      <w:r w:rsidRPr="008074CA">
        <w:rPr>
          <w:rFonts w:eastAsia="Times New Roman" w:cs="Times New Roman"/>
          <w:szCs w:val="28"/>
        </w:rPr>
        <w:t> nhưng được Bộ Chính trị, Ban Bí thư kéo dài thời gian công tác trong cơ quan đặc thù của đảng, nhà nước, tổ chức chính trị xã hội, nếu nghỉ hưu sẽ được trợ cấp hưu trí một lần bằng 30 tháng tiền lương hiện hưởng và bảo hiểm xã hội.</w:t>
      </w:r>
    </w:p>
    <w:p w14:paraId="31B047BA" w14:textId="77777777" w:rsidR="008074CA" w:rsidRPr="008074CA" w:rsidRDefault="008074CA" w:rsidP="008074CA">
      <w:pPr>
        <w:spacing w:after="0" w:line="432" w:lineRule="atLeast"/>
        <w:ind w:firstLine="720"/>
        <w:jc w:val="both"/>
        <w:rPr>
          <w:rFonts w:eastAsia="Times New Roman" w:cs="Times New Roman"/>
          <w:szCs w:val="28"/>
        </w:rPr>
      </w:pPr>
      <w:r w:rsidRPr="008074CA">
        <w:rPr>
          <w:rFonts w:eastAsia="Times New Roman" w:cs="Times New Roman"/>
          <w:i/>
          <w:iCs/>
          <w:szCs w:val="28"/>
        </w:rPr>
        <w:t>Cán bộ, công chức, bao gồm cả cấp xã,</w:t>
      </w:r>
      <w:r w:rsidRPr="008074CA">
        <w:rPr>
          <w:rFonts w:eastAsia="Times New Roman" w:cs="Times New Roman"/>
          <w:szCs w:val="28"/>
        </w:rPr>
        <w:t> nếu còn đủ 2 tuổi trở lên đến tuổi nghỉ hưu và không đủ điều kiện hưởng chế độ nghỉ hưu trước tuổi, khi nghỉ việc sẽ được hưởng bốn chế độ gồm: trợ cấp thôi việc; trợ cấp 1,5 tháng lương hiện hưởng cho mỗi năm công tác có đóng bảo hiểm xã hội; bảo lưu thời gian đóng bảo hiểm xã hội hoặc hưởng bảo hiểm xã hội một lần; trợ cấp ba tháng tiền lương hiện hưởng để tìm việc làm.</w:t>
      </w:r>
    </w:p>
    <w:p w14:paraId="52BC6FE1" w14:textId="77777777" w:rsidR="008074CA" w:rsidRPr="008074CA" w:rsidRDefault="008074CA" w:rsidP="008074CA">
      <w:pPr>
        <w:spacing w:after="0" w:line="432" w:lineRule="atLeast"/>
        <w:jc w:val="both"/>
        <w:rPr>
          <w:rFonts w:eastAsia="Times New Roman" w:cs="Times New Roman"/>
          <w:szCs w:val="28"/>
        </w:rPr>
      </w:pPr>
      <w:r w:rsidRPr="008074CA">
        <w:rPr>
          <w:rFonts w:eastAsia="Times New Roman" w:cs="Times New Roman"/>
          <w:i/>
          <w:iCs/>
          <w:szCs w:val="28"/>
        </w:rPr>
        <w:t>Viên chức và người lao động </w:t>
      </w:r>
      <w:r w:rsidRPr="008074CA">
        <w:rPr>
          <w:rFonts w:eastAsia="Times New Roman" w:cs="Times New Roman"/>
          <w:szCs w:val="28"/>
        </w:rPr>
        <w:t>nghỉ việc cũng sẽ hưởng bốn chế độ như cán bộ, công chức, nhưng thay vì trợ cấp ba tháng tiền lương, họ sẽ nhận trợ cấp thất nghiệp từ quỹ Bảo hiểm thất nghiệp.</w:t>
      </w:r>
    </w:p>
    <w:p w14:paraId="221CE541" w14:textId="77777777" w:rsidR="008074CA" w:rsidRPr="008074CA" w:rsidRDefault="008074CA" w:rsidP="008074CA">
      <w:pPr>
        <w:spacing w:after="0" w:line="432" w:lineRule="atLeast"/>
        <w:ind w:firstLine="720"/>
        <w:jc w:val="both"/>
        <w:rPr>
          <w:rFonts w:eastAsia="Times New Roman" w:cs="Times New Roman"/>
          <w:szCs w:val="28"/>
        </w:rPr>
      </w:pPr>
      <w:r w:rsidRPr="008074CA">
        <w:rPr>
          <w:rFonts w:eastAsia="Times New Roman" w:cs="Times New Roman"/>
          <w:i/>
          <w:iCs/>
          <w:szCs w:val="28"/>
        </w:rPr>
        <w:t>Cán bộ, công chức, viên chức lãnh đạo, quản lý</w:t>
      </w:r>
      <w:r w:rsidRPr="008074CA">
        <w:rPr>
          <w:rFonts w:eastAsia="Times New Roman" w:cs="Times New Roman"/>
          <w:szCs w:val="28"/>
        </w:rPr>
        <w:t> tiếp tục làm việc nhưng thôi giữ chức vụ lãnh đạo, quản lý hoặc được bầu, bổ nhiệm vào chức vụ thấp hơn, sẽ được bảo lưu mức lương chức vụ hoặc phụ cấp chức vụ lãnh đạo cũ đến hết nhiệm kỳ bầu cử hoặc thời hạn giữ chức vụ. Trường hợp đã giữ chức vụ theo nhiệm kỳ bầu cử hoặc thời hạn bổ nhiệm còn dưới 6 tháng thì được bảo lưu 6 tháng.</w:t>
      </w:r>
    </w:p>
    <w:p w14:paraId="4993B246" w14:textId="77777777" w:rsidR="008074CA" w:rsidRPr="008074CA" w:rsidRDefault="008074CA" w:rsidP="008074CA">
      <w:pPr>
        <w:spacing w:after="240" w:line="432" w:lineRule="atLeast"/>
        <w:ind w:firstLine="720"/>
        <w:jc w:val="both"/>
        <w:rPr>
          <w:rFonts w:eastAsia="Times New Roman" w:cs="Times New Roman"/>
          <w:szCs w:val="28"/>
        </w:rPr>
      </w:pPr>
      <w:r w:rsidRPr="008074CA">
        <w:rPr>
          <w:rFonts w:eastAsia="Times New Roman" w:cs="Times New Roman"/>
          <w:szCs w:val="28"/>
        </w:rPr>
        <w:t>Ngoài ra, cán bộ, công chức, viên chức trung ương và địa phương được cử đi tăng cường về cấp xã sẽ nhận tiền lương theo vị trí việc làm trước khi đi, cùng với một trợ cấp một lần bằng 10 tháng lương cơ sở tại thời điểm nhận công tác, kèm theo chính sách hỗ trợ với đơn vị vùng kinh tế - xã hội đặc biệt khó khăn. Sau khi họ hoàn thành tốt nhiệm vụ tại cơ sở, sẽ được tiếp nhận trở lại nơi cử đi hoặc bố trí công tác phù hợp; được nâng lương vượt một bậc.</w:t>
      </w:r>
    </w:p>
    <w:p w14:paraId="422B0218" w14:textId="77777777" w:rsidR="008074CA" w:rsidRPr="008074CA" w:rsidRDefault="008074CA" w:rsidP="008074CA">
      <w:pPr>
        <w:spacing w:after="240" w:line="432" w:lineRule="atLeast"/>
        <w:ind w:firstLine="720"/>
        <w:jc w:val="both"/>
        <w:rPr>
          <w:rFonts w:eastAsia="Times New Roman" w:cs="Times New Roman"/>
          <w:szCs w:val="28"/>
        </w:rPr>
      </w:pPr>
      <w:r w:rsidRPr="008074CA">
        <w:rPr>
          <w:rFonts w:eastAsia="Times New Roman" w:cs="Times New Roman"/>
          <w:szCs w:val="28"/>
        </w:rPr>
        <w:t xml:space="preserve">Cán bộ, công chức, viên chức trung ương và địa phương tăng cường cho cấp tỉnh, huyện được hưởng tiền lương theo vị trí việc làm trước khi cử đi; trợ cấp </w:t>
      </w:r>
      <w:r w:rsidRPr="008074CA">
        <w:rPr>
          <w:rFonts w:eastAsia="Times New Roman" w:cs="Times New Roman"/>
          <w:szCs w:val="28"/>
        </w:rPr>
        <w:lastRenderedPageBreak/>
        <w:t>một lần ba tháng lương cơ sở tại thời điểm nhận công tác; chính sách với đơn vị công tác ở vùng kinh tế xã hội đặc biệt khó khăn. Sau khi hoàn thành tốt nhiệm vụ ở cơ sở, họ được nhận trở lại nơi cử đi hoặc bố trí công tác phù hợp và được nâng vượt một bậc lương.</w:t>
      </w:r>
    </w:p>
    <w:p w14:paraId="06FC2452" w14:textId="77777777" w:rsidR="008074CA" w:rsidRPr="008074CA" w:rsidRDefault="008074CA" w:rsidP="008074CA">
      <w:pPr>
        <w:spacing w:after="240" w:line="432" w:lineRule="atLeast"/>
        <w:ind w:firstLine="720"/>
        <w:jc w:val="both"/>
        <w:rPr>
          <w:rFonts w:eastAsia="Times New Roman" w:cs="Times New Roman"/>
          <w:szCs w:val="28"/>
        </w:rPr>
      </w:pPr>
      <w:r w:rsidRPr="008074CA">
        <w:rPr>
          <w:rFonts w:eastAsia="Times New Roman" w:cs="Times New Roman"/>
          <w:szCs w:val="28"/>
        </w:rPr>
        <w:t>Người có phấm chất, năng lực nổi trội sẽ được nâng lương vượt một bậc; hưởng tiền thưởng do thủ trưởng đơn v</w:t>
      </w:r>
      <w:bookmarkStart w:id="0" w:name="_GoBack"/>
      <w:bookmarkEnd w:id="0"/>
      <w:r w:rsidRPr="008074CA">
        <w:rPr>
          <w:rFonts w:eastAsia="Times New Roman" w:cs="Times New Roman"/>
          <w:szCs w:val="28"/>
        </w:rPr>
        <w:t>ị quyết định trong tối đa 50% quỹ tiền thưởng; ưu tiên quy hoạch, bố trí lãnh đạo, kể cả vượt cấp trên; hưởng chính sách trọng dụng người tài làm việc trong cơ quan nhà nước, đơn vị sự nghiệp công lập nếu đáp ứng đủ tiêu chuẩn, điều kiện.</w:t>
      </w:r>
    </w:p>
    <w:p w14:paraId="0930455D" w14:textId="6433278B" w:rsidR="008074CA" w:rsidRPr="008074CA" w:rsidRDefault="008074CA" w:rsidP="008074CA">
      <w:pPr>
        <w:spacing w:after="240" w:line="432" w:lineRule="atLeast"/>
        <w:ind w:firstLine="720"/>
        <w:jc w:val="right"/>
        <w:rPr>
          <w:rFonts w:eastAsia="Times New Roman" w:cs="Times New Roman"/>
          <w:szCs w:val="28"/>
        </w:rPr>
      </w:pPr>
      <w:r w:rsidRPr="008074CA">
        <w:rPr>
          <w:rFonts w:eastAsia="Times New Roman" w:cs="Times New Roman"/>
          <w:szCs w:val="28"/>
        </w:rPr>
        <w:t>(Nguồn: Báo https://vnexpress.net/)</w:t>
      </w:r>
    </w:p>
    <w:p w14:paraId="450204A5" w14:textId="469770D9" w:rsidR="006F15C1" w:rsidRPr="008074CA" w:rsidRDefault="006F15C1" w:rsidP="008074CA">
      <w:pPr>
        <w:jc w:val="both"/>
        <w:rPr>
          <w:sz w:val="30"/>
        </w:rPr>
      </w:pPr>
    </w:p>
    <w:sectPr w:rsidR="006F15C1" w:rsidRPr="008074CA" w:rsidSect="00D27546">
      <w:pgSz w:w="11907" w:h="16840" w:code="9"/>
      <w:pgMar w:top="1134" w:right="1134" w:bottom="1134" w:left="1701" w:header="720" w:footer="51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0FFCF" w14:textId="77777777" w:rsidR="005E6E3D" w:rsidRDefault="005E6E3D" w:rsidP="00325DF2">
      <w:pPr>
        <w:spacing w:after="0" w:line="240" w:lineRule="auto"/>
      </w:pPr>
      <w:r>
        <w:separator/>
      </w:r>
    </w:p>
  </w:endnote>
  <w:endnote w:type="continuationSeparator" w:id="0">
    <w:p w14:paraId="30055150" w14:textId="77777777" w:rsidR="005E6E3D" w:rsidRDefault="005E6E3D" w:rsidP="0032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121AF" w14:textId="77777777" w:rsidR="005E6E3D" w:rsidRDefault="005E6E3D" w:rsidP="00325DF2">
      <w:pPr>
        <w:spacing w:after="0" w:line="240" w:lineRule="auto"/>
      </w:pPr>
      <w:r>
        <w:separator/>
      </w:r>
    </w:p>
  </w:footnote>
  <w:footnote w:type="continuationSeparator" w:id="0">
    <w:p w14:paraId="76236E73" w14:textId="77777777" w:rsidR="005E6E3D" w:rsidRDefault="005E6E3D" w:rsidP="00325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44BDA"/>
    <w:multiLevelType w:val="hybridMultilevel"/>
    <w:tmpl w:val="A6EC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02F1B"/>
    <w:multiLevelType w:val="hybridMultilevel"/>
    <w:tmpl w:val="54048ED8"/>
    <w:lvl w:ilvl="0" w:tplc="D6D2CB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53A30"/>
    <w:multiLevelType w:val="hybridMultilevel"/>
    <w:tmpl w:val="A76C7218"/>
    <w:lvl w:ilvl="0" w:tplc="D7963E6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10"/>
    <w:rsid w:val="00000FBB"/>
    <w:rsid w:val="000061E8"/>
    <w:rsid w:val="00041CCA"/>
    <w:rsid w:val="0006468F"/>
    <w:rsid w:val="00077313"/>
    <w:rsid w:val="000C2E33"/>
    <w:rsid w:val="000E57FF"/>
    <w:rsid w:val="000E7D1A"/>
    <w:rsid w:val="000F33B3"/>
    <w:rsid w:val="000F484F"/>
    <w:rsid w:val="00101408"/>
    <w:rsid w:val="00110CD6"/>
    <w:rsid w:val="00121583"/>
    <w:rsid w:val="001545A1"/>
    <w:rsid w:val="00170D76"/>
    <w:rsid w:val="00173311"/>
    <w:rsid w:val="00194402"/>
    <w:rsid w:val="001B36B9"/>
    <w:rsid w:val="001B4234"/>
    <w:rsid w:val="001E3194"/>
    <w:rsid w:val="001E7EA1"/>
    <w:rsid w:val="001F17F6"/>
    <w:rsid w:val="001F1C7F"/>
    <w:rsid w:val="00205A07"/>
    <w:rsid w:val="002139D7"/>
    <w:rsid w:val="00246C4E"/>
    <w:rsid w:val="00255BC0"/>
    <w:rsid w:val="002E2C5C"/>
    <w:rsid w:val="00310086"/>
    <w:rsid w:val="00325DF2"/>
    <w:rsid w:val="00326A86"/>
    <w:rsid w:val="003A2C4B"/>
    <w:rsid w:val="003B0960"/>
    <w:rsid w:val="003B2407"/>
    <w:rsid w:val="003B6A5F"/>
    <w:rsid w:val="003C2DF6"/>
    <w:rsid w:val="00433B60"/>
    <w:rsid w:val="004435E5"/>
    <w:rsid w:val="00445495"/>
    <w:rsid w:val="00492265"/>
    <w:rsid w:val="004973B5"/>
    <w:rsid w:val="004E11C0"/>
    <w:rsid w:val="004E5254"/>
    <w:rsid w:val="004F366E"/>
    <w:rsid w:val="00513EE8"/>
    <w:rsid w:val="0051762C"/>
    <w:rsid w:val="005268EC"/>
    <w:rsid w:val="00552338"/>
    <w:rsid w:val="005720F4"/>
    <w:rsid w:val="00586687"/>
    <w:rsid w:val="00597DC3"/>
    <w:rsid w:val="005A595A"/>
    <w:rsid w:val="005B4B82"/>
    <w:rsid w:val="005E23E2"/>
    <w:rsid w:val="005E6E3D"/>
    <w:rsid w:val="00622284"/>
    <w:rsid w:val="00636987"/>
    <w:rsid w:val="00647E47"/>
    <w:rsid w:val="006602A0"/>
    <w:rsid w:val="00675C59"/>
    <w:rsid w:val="0069606C"/>
    <w:rsid w:val="00696C85"/>
    <w:rsid w:val="00696FD1"/>
    <w:rsid w:val="006A55ED"/>
    <w:rsid w:val="006A6DD8"/>
    <w:rsid w:val="006A7D1F"/>
    <w:rsid w:val="006C44C2"/>
    <w:rsid w:val="006D762E"/>
    <w:rsid w:val="006F15C1"/>
    <w:rsid w:val="007118B6"/>
    <w:rsid w:val="00715841"/>
    <w:rsid w:val="00726C6C"/>
    <w:rsid w:val="007377BF"/>
    <w:rsid w:val="007B0119"/>
    <w:rsid w:val="007F7DAA"/>
    <w:rsid w:val="008026CC"/>
    <w:rsid w:val="008074CA"/>
    <w:rsid w:val="00817601"/>
    <w:rsid w:val="008208B8"/>
    <w:rsid w:val="00826EA5"/>
    <w:rsid w:val="00835D6C"/>
    <w:rsid w:val="00840E3B"/>
    <w:rsid w:val="00843297"/>
    <w:rsid w:val="00870063"/>
    <w:rsid w:val="008D35F5"/>
    <w:rsid w:val="00942D63"/>
    <w:rsid w:val="009904C6"/>
    <w:rsid w:val="00993B24"/>
    <w:rsid w:val="009B416E"/>
    <w:rsid w:val="009E1D77"/>
    <w:rsid w:val="009E599D"/>
    <w:rsid w:val="009F5A6C"/>
    <w:rsid w:val="00A020F3"/>
    <w:rsid w:val="00A071AA"/>
    <w:rsid w:val="00A270FE"/>
    <w:rsid w:val="00A33FF7"/>
    <w:rsid w:val="00A657DB"/>
    <w:rsid w:val="00A67035"/>
    <w:rsid w:val="00A869BA"/>
    <w:rsid w:val="00A87D4E"/>
    <w:rsid w:val="00AD22F2"/>
    <w:rsid w:val="00AD322F"/>
    <w:rsid w:val="00B13C35"/>
    <w:rsid w:val="00B24D5A"/>
    <w:rsid w:val="00B37964"/>
    <w:rsid w:val="00B57744"/>
    <w:rsid w:val="00B71DAE"/>
    <w:rsid w:val="00BB03D7"/>
    <w:rsid w:val="00BE7810"/>
    <w:rsid w:val="00BF1C62"/>
    <w:rsid w:val="00C04F30"/>
    <w:rsid w:val="00C23A3D"/>
    <w:rsid w:val="00C32599"/>
    <w:rsid w:val="00C5782F"/>
    <w:rsid w:val="00C932E1"/>
    <w:rsid w:val="00CC6D6F"/>
    <w:rsid w:val="00CD77F4"/>
    <w:rsid w:val="00D17997"/>
    <w:rsid w:val="00D27546"/>
    <w:rsid w:val="00D87037"/>
    <w:rsid w:val="00E11A2E"/>
    <w:rsid w:val="00E502D8"/>
    <w:rsid w:val="00E62013"/>
    <w:rsid w:val="00E762F1"/>
    <w:rsid w:val="00E93C54"/>
    <w:rsid w:val="00EA09D7"/>
    <w:rsid w:val="00EA7D55"/>
    <w:rsid w:val="00EE2FB6"/>
    <w:rsid w:val="00EF6187"/>
    <w:rsid w:val="00F10B57"/>
    <w:rsid w:val="00F12313"/>
    <w:rsid w:val="00F1656B"/>
    <w:rsid w:val="00F22094"/>
    <w:rsid w:val="00F418F1"/>
    <w:rsid w:val="00F730E1"/>
    <w:rsid w:val="00F84AC8"/>
    <w:rsid w:val="00F90CAD"/>
    <w:rsid w:val="00FA36BD"/>
    <w:rsid w:val="00FA3B68"/>
    <w:rsid w:val="00FA6FCD"/>
    <w:rsid w:val="00FB4461"/>
    <w:rsid w:val="00FD4E35"/>
    <w:rsid w:val="00FD5C95"/>
    <w:rsid w:val="00FD6896"/>
    <w:rsid w:val="00FE1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3C25"/>
  <w15:docId w15:val="{DB23945B-BFF6-4D87-9199-1EB5B16C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74C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25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5DF2"/>
    <w:rPr>
      <w:sz w:val="20"/>
      <w:szCs w:val="20"/>
    </w:rPr>
  </w:style>
  <w:style w:type="character" w:styleId="FootnoteReference">
    <w:name w:val="footnote reference"/>
    <w:basedOn w:val="DefaultParagraphFont"/>
    <w:uiPriority w:val="99"/>
    <w:semiHidden/>
    <w:unhideWhenUsed/>
    <w:rsid w:val="00325DF2"/>
    <w:rPr>
      <w:vertAlign w:val="superscript"/>
    </w:rPr>
  </w:style>
  <w:style w:type="character" w:styleId="Hyperlink">
    <w:name w:val="Hyperlink"/>
    <w:basedOn w:val="DefaultParagraphFont"/>
    <w:uiPriority w:val="99"/>
    <w:unhideWhenUsed/>
    <w:rsid w:val="000C2E33"/>
    <w:rPr>
      <w:color w:val="0563C1" w:themeColor="hyperlink"/>
      <w:u w:val="single"/>
    </w:rPr>
  </w:style>
  <w:style w:type="paragraph" w:styleId="ListParagraph">
    <w:name w:val="List Paragraph"/>
    <w:basedOn w:val="Normal"/>
    <w:uiPriority w:val="34"/>
    <w:qFormat/>
    <w:rsid w:val="001E3194"/>
    <w:pPr>
      <w:ind w:left="720"/>
      <w:contextualSpacing/>
    </w:pPr>
  </w:style>
  <w:style w:type="character" w:customStyle="1" w:styleId="UnresolvedMention">
    <w:name w:val="Unresolved Mention"/>
    <w:basedOn w:val="DefaultParagraphFont"/>
    <w:uiPriority w:val="99"/>
    <w:semiHidden/>
    <w:unhideWhenUsed/>
    <w:rsid w:val="00F22094"/>
    <w:rPr>
      <w:color w:val="605E5C"/>
      <w:shd w:val="clear" w:color="auto" w:fill="E1DFDD"/>
    </w:rPr>
  </w:style>
  <w:style w:type="paragraph" w:styleId="BalloonText">
    <w:name w:val="Balloon Text"/>
    <w:basedOn w:val="Normal"/>
    <w:link w:val="BalloonTextChar"/>
    <w:uiPriority w:val="99"/>
    <w:semiHidden/>
    <w:unhideWhenUsed/>
    <w:rsid w:val="004F36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66E"/>
    <w:rPr>
      <w:rFonts w:ascii="Segoe UI" w:hAnsi="Segoe UI" w:cs="Segoe UI"/>
      <w:sz w:val="18"/>
      <w:szCs w:val="18"/>
    </w:rPr>
  </w:style>
  <w:style w:type="paragraph" w:styleId="NormalWeb">
    <w:name w:val="Normal (Web)"/>
    <w:basedOn w:val="Normal"/>
    <w:uiPriority w:val="99"/>
    <w:unhideWhenUsed/>
    <w:rsid w:val="006F15C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6F15C1"/>
    <w:rPr>
      <w:i/>
      <w:iCs/>
    </w:rPr>
  </w:style>
  <w:style w:type="character" w:customStyle="1" w:styleId="Heading1Char">
    <w:name w:val="Heading 1 Char"/>
    <w:basedOn w:val="DefaultParagraphFont"/>
    <w:link w:val="Heading1"/>
    <w:uiPriority w:val="9"/>
    <w:rsid w:val="008074CA"/>
    <w:rPr>
      <w:rFonts w:eastAsia="Times New Roman" w:cs="Times New Roman"/>
      <w:b/>
      <w:bCs/>
      <w:kern w:val="36"/>
      <w:sz w:val="48"/>
      <w:szCs w:val="48"/>
    </w:rPr>
  </w:style>
  <w:style w:type="paragraph" w:customStyle="1" w:styleId="description">
    <w:name w:val="description"/>
    <w:basedOn w:val="Normal"/>
    <w:rsid w:val="008074CA"/>
    <w:pPr>
      <w:spacing w:before="100" w:beforeAutospacing="1" w:after="100" w:afterAutospacing="1" w:line="240" w:lineRule="auto"/>
    </w:pPr>
    <w:rPr>
      <w:rFonts w:eastAsia="Times New Roman" w:cs="Times New Roman"/>
      <w:sz w:val="24"/>
      <w:szCs w:val="24"/>
    </w:rPr>
  </w:style>
  <w:style w:type="paragraph" w:customStyle="1" w:styleId="normal0">
    <w:name w:val="normal"/>
    <w:basedOn w:val="Normal"/>
    <w:rsid w:val="008074CA"/>
    <w:pPr>
      <w:spacing w:before="100" w:beforeAutospacing="1" w:after="100" w:afterAutospacing="1" w:line="240" w:lineRule="auto"/>
    </w:pPr>
    <w:rPr>
      <w:rFonts w:eastAsia="Times New Roman" w:cs="Times New Roman"/>
      <w:sz w:val="24"/>
      <w:szCs w:val="24"/>
    </w:rPr>
  </w:style>
  <w:style w:type="paragraph" w:customStyle="1" w:styleId="image">
    <w:name w:val="image"/>
    <w:basedOn w:val="Normal"/>
    <w:rsid w:val="008074C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648925">
      <w:bodyDiv w:val="1"/>
      <w:marLeft w:val="0"/>
      <w:marRight w:val="0"/>
      <w:marTop w:val="0"/>
      <w:marBottom w:val="0"/>
      <w:divBdr>
        <w:top w:val="none" w:sz="0" w:space="0" w:color="auto"/>
        <w:left w:val="none" w:sz="0" w:space="0" w:color="auto"/>
        <w:bottom w:val="none" w:sz="0" w:space="0" w:color="auto"/>
        <w:right w:val="none" w:sz="0" w:space="0" w:color="auto"/>
      </w:divBdr>
      <w:divsChild>
        <w:div w:id="1839885527">
          <w:marLeft w:val="0"/>
          <w:marRight w:val="0"/>
          <w:marTop w:val="0"/>
          <w:marBottom w:val="0"/>
          <w:divBdr>
            <w:top w:val="none" w:sz="0" w:space="0" w:color="auto"/>
            <w:left w:val="none" w:sz="0" w:space="0" w:color="auto"/>
            <w:bottom w:val="none" w:sz="0" w:space="0" w:color="auto"/>
            <w:right w:val="none" w:sz="0" w:space="0" w:color="auto"/>
          </w:divBdr>
          <w:divsChild>
            <w:div w:id="356077576">
              <w:marLeft w:val="0"/>
              <w:marRight w:val="0"/>
              <w:marTop w:val="0"/>
              <w:marBottom w:val="0"/>
              <w:divBdr>
                <w:top w:val="none" w:sz="0" w:space="0" w:color="auto"/>
                <w:left w:val="none" w:sz="0" w:space="0" w:color="auto"/>
                <w:bottom w:val="none" w:sz="0" w:space="0" w:color="auto"/>
                <w:right w:val="none" w:sz="0" w:space="0" w:color="auto"/>
              </w:divBdr>
              <w:divsChild>
                <w:div w:id="17392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EA6A3-A6F7-41FD-99FA-E1FD8D1D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Admin</cp:lastModifiedBy>
  <cp:revision>2</cp:revision>
  <cp:lastPrinted>2022-05-20T09:13:00Z</cp:lastPrinted>
  <dcterms:created xsi:type="dcterms:W3CDTF">2024-12-30T09:44:00Z</dcterms:created>
  <dcterms:modified xsi:type="dcterms:W3CDTF">2024-12-30T09:44:00Z</dcterms:modified>
</cp:coreProperties>
</file>