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73" w:rsidRPr="00B84173" w:rsidRDefault="00B84173" w:rsidP="00B84173">
      <w:pPr>
        <w:shd w:val="clear" w:color="auto" w:fill="FFFFFF"/>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KẾ HOẠCH</w:t>
      </w:r>
    </w:p>
    <w:p w:rsidR="00B84173" w:rsidRPr="00B84173" w:rsidRDefault="00B84173" w:rsidP="00B84173">
      <w:pPr>
        <w:shd w:val="clear" w:color="auto" w:fill="FFFFFF"/>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Cải tiến chất lượng giáo dục giai đoạn 2023-2024</w:t>
      </w:r>
    </w:p>
    <w:p w:rsidR="00B84173" w:rsidRPr="00B84173" w:rsidRDefault="00B84173" w:rsidP="00B84173">
      <w:pPr>
        <w:shd w:val="clear" w:color="auto" w:fill="FFFFFF"/>
        <w:spacing w:after="100" w:afterAutospacing="1" w:line="390" w:lineRule="atLeast"/>
        <w:jc w:val="center"/>
        <w:rPr>
          <w:rFonts w:eastAsia="Times New Roman"/>
          <w:color w:val="161616"/>
          <w:spacing w:val="0"/>
          <w:sz w:val="23"/>
          <w:szCs w:val="23"/>
        </w:rPr>
      </w:pPr>
      <w:r w:rsidRPr="00B84173">
        <w:rPr>
          <w:rFonts w:eastAsia="Times New Roman"/>
          <w:spacing w:val="0"/>
          <w:sz w:val="10"/>
          <w:szCs w:val="10"/>
        </w:rPr>
        <w:t> </w:t>
      </w:r>
    </w:p>
    <w:p w:rsidR="00B84173" w:rsidRPr="00B84173" w:rsidRDefault="00B84173" w:rsidP="00B84173">
      <w:pPr>
        <w:shd w:val="clear" w:color="auto" w:fill="FFFFFF"/>
        <w:spacing w:after="100" w:afterAutospacing="1"/>
        <w:ind w:firstLine="709"/>
        <w:rPr>
          <w:rFonts w:eastAsia="Times New Roman"/>
          <w:color w:val="161616"/>
          <w:spacing w:val="0"/>
          <w:sz w:val="23"/>
          <w:szCs w:val="23"/>
        </w:rPr>
      </w:pPr>
      <w:r w:rsidRPr="00B84173">
        <w:rPr>
          <w:rFonts w:eastAsia="Times New Roman"/>
          <w:spacing w:val="0"/>
          <w:sz w:val="27"/>
          <w:szCs w:val="27"/>
        </w:rPr>
        <w:t>Căn cứ Thông tư số 18/2018/TT-BGDĐT, ngày 22 tháng 8 năm 2018 của Bộ trưởng Bộ Giáo dục và Đào tạo ban hành Quy định về kiểm định chất lượng giáo dục và công nhận đạt chuẩn quốc gia đối với trường trung học cơ sở, trường trung học phổ thông và trường phổ thông có nhiều cấp học;</w:t>
      </w:r>
    </w:p>
    <w:p w:rsidR="00B84173" w:rsidRPr="00B84173" w:rsidRDefault="00B84173" w:rsidP="00B84173">
      <w:pPr>
        <w:shd w:val="clear" w:color="auto" w:fill="FFFFFF"/>
        <w:spacing w:after="100" w:afterAutospacing="1"/>
        <w:ind w:firstLine="709"/>
        <w:rPr>
          <w:rFonts w:eastAsia="Times New Roman"/>
          <w:color w:val="161616"/>
          <w:spacing w:val="0"/>
          <w:sz w:val="23"/>
          <w:szCs w:val="23"/>
        </w:rPr>
      </w:pPr>
      <w:r w:rsidRPr="00B84173">
        <w:rPr>
          <w:rFonts w:eastAsia="Times New Roman"/>
          <w:spacing w:val="0"/>
          <w:sz w:val="27"/>
          <w:szCs w:val="27"/>
        </w:rPr>
        <w:t>Căn cứ Thông tư số 13/2020/TT-BGD ĐT ngày 26/5/2020 của Bộ Giáo dục và đào tạo </w:t>
      </w:r>
      <w:r w:rsidRPr="00B84173">
        <w:rPr>
          <w:rFonts w:eastAsia="Times New Roman"/>
          <w:color w:val="161616"/>
          <w:spacing w:val="0"/>
          <w:sz w:val="27"/>
          <w:szCs w:val="27"/>
        </w:rPr>
        <w:t>ban hành Quy định tiêu chuẩn cơ sở vật chất các trường mầm non, tiểu học, trung học cơ sở, trung học phổ thông và trường phổ thông có nhiều cấp học</w:t>
      </w:r>
      <w:r w:rsidRPr="00B84173">
        <w:rPr>
          <w:rFonts w:eastAsia="Times New Roman"/>
          <w:spacing w:val="0"/>
          <w:sz w:val="27"/>
          <w:szCs w:val="27"/>
        </w:rPr>
        <w: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color w:val="161616"/>
          <w:spacing w:val="0"/>
          <w:sz w:val="27"/>
          <w:szCs w:val="27"/>
        </w:rPr>
        <w:t>Trường THCS Đoàn Lập xây dựng kế hoạch </w:t>
      </w:r>
      <w:r w:rsidRPr="00B84173">
        <w:rPr>
          <w:rFonts w:eastAsia="Times New Roman"/>
          <w:spacing w:val="0"/>
          <w:sz w:val="26"/>
          <w:szCs w:val="26"/>
        </w:rPr>
        <w:t>cải tiến chất lượng giáo dục giai đoạn 2023-2024</w:t>
      </w:r>
      <w:r w:rsidRPr="00B84173">
        <w:rPr>
          <w:rFonts w:eastAsia="Times New Roman"/>
          <w:color w:val="161616"/>
          <w:spacing w:val="0"/>
          <w:sz w:val="27"/>
          <w:szCs w:val="27"/>
        </w:rPr>
        <w:t>, như sau,</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I. MỤC ĐÍCH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Phát huy điểm mạnh, khắc phục điểm yếu nhằm</w:t>
      </w:r>
      <w:r w:rsidRPr="00B84173">
        <w:rPr>
          <w:rFonts w:eastAsia="Times New Roman"/>
          <w:b/>
          <w:bCs/>
          <w:color w:val="161616"/>
          <w:spacing w:val="0"/>
          <w:sz w:val="24"/>
          <w:szCs w:val="24"/>
        </w:rPr>
        <w:t> </w:t>
      </w:r>
      <w:r w:rsidRPr="00B84173">
        <w:rPr>
          <w:rFonts w:eastAsia="Times New Roman"/>
          <w:spacing w:val="0"/>
          <w:sz w:val="27"/>
          <w:szCs w:val="27"/>
        </w:rPr>
        <w:t>duy trì và nâng cao chất lượng các hoạt động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4"/>
          <w:sz w:val="27"/>
          <w:szCs w:val="27"/>
          <w:shd w:val="clear" w:color="auto" w:fill="FFFFFF"/>
        </w:rPr>
        <w:t>Huy động các nguồn lực cho giáo dục, góp phần tạo điều kiện đảm bảo cho Nhà trường không ngừng nâng cao chất lượng, hiệu quả giáo dục.</w:t>
      </w:r>
      <w:r w:rsidRPr="00B84173">
        <w:rPr>
          <w:rFonts w:eastAsia="Times New Roman"/>
          <w:b/>
          <w:bCs/>
          <w:spacing w:val="0"/>
          <w:sz w:val="27"/>
          <w:szCs w:val="27"/>
        </w:rPr>
        <w:t>    </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Đảm bảo thực hiện đúng tiến độ, đạt chất lượng, hiệu quả. Đồng thời nâng cao vai trò, trách nhiệm của đội ngũ trong thực hiện kế hoạch.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Đảm bảo lưu trữ đầy đủ hồ sơ, sổ sách trong thực hiện. Hồ sơ phải đảm bảo tính pháp lý và đáp ứng được yêu cầu kiểm định chất lượng giáo dục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Thực hiện tốt kế hoạch cải tiến chất lượng góp phần quan trọng nâng chất các tiêu chí, tiêu chuẩn trường chuẩn quốc gia và nâng cấp độ chất lượng của nhà truờng trong thời gian tới để đảm bảo lộ trình đánh giá ngoài, kiểm tra trường chuẩn QG giai đoạn tiếp theo vào năm học 2023-2024, 2024-2025.</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II. ĐÁNH GIÁ THỰC TRẠNG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1. Kết quả tự đánh giá theo Thông tư hiện hành về Kiểm định chất lượng giáo dục và công nhận trường đạt chuẩn quốc gia.</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lastRenderedPageBreak/>
        <w:t>1.1. Đánh giá các tiêu chí theo kiểm định chất lượng: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1.1.1. Đánh giá tiêu chí mức 1, 2 và 3.</w:t>
      </w:r>
    </w:p>
    <w:tbl>
      <w:tblPr>
        <w:tblW w:w="0" w:type="auto"/>
        <w:shd w:val="clear" w:color="auto" w:fill="FFFFFF"/>
        <w:tblCellMar>
          <w:left w:w="0" w:type="dxa"/>
          <w:right w:w="0" w:type="dxa"/>
        </w:tblCellMar>
        <w:tblLook w:val="04A0" w:firstRow="1" w:lastRow="0" w:firstColumn="1" w:lastColumn="0" w:noHBand="0" w:noVBand="1"/>
      </w:tblPr>
      <w:tblGrid>
        <w:gridCol w:w="1921"/>
        <w:gridCol w:w="1056"/>
        <w:gridCol w:w="1134"/>
        <w:gridCol w:w="1276"/>
        <w:gridCol w:w="1276"/>
        <w:gridCol w:w="2970"/>
      </w:tblGrid>
      <w:tr w:rsidR="00B84173" w:rsidRPr="00B84173" w:rsidTr="00B84173">
        <w:trPr>
          <w:trHeight w:val="331"/>
        </w:trPr>
        <w:tc>
          <w:tcPr>
            <w:tcW w:w="192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Tiêu chuẩn, tiêu chí</w:t>
            </w:r>
          </w:p>
        </w:tc>
        <w:tc>
          <w:tcPr>
            <w:tcW w:w="4742"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Kết quả</w:t>
            </w:r>
          </w:p>
        </w:tc>
        <w:tc>
          <w:tcPr>
            <w:tcW w:w="29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Nội dung không đạt</w:t>
            </w:r>
          </w:p>
        </w:tc>
      </w:tr>
      <w:tr w:rsidR="00B84173" w:rsidRPr="00B84173" w:rsidTr="00B84173">
        <w:trPr>
          <w:trHeight w:val="144"/>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4" w:lineRule="atLeast"/>
              <w:jc w:val="center"/>
              <w:rPr>
                <w:rFonts w:eastAsia="Times New Roman"/>
                <w:color w:val="161616"/>
                <w:spacing w:val="0"/>
                <w:sz w:val="23"/>
                <w:szCs w:val="23"/>
              </w:rPr>
            </w:pPr>
            <w:r w:rsidRPr="00B84173">
              <w:rPr>
                <w:rFonts w:eastAsia="Times New Roman"/>
                <w:b/>
                <w:bCs/>
                <w:spacing w:val="0"/>
                <w:sz w:val="27"/>
                <w:szCs w:val="27"/>
              </w:rPr>
              <w:t>Không đạt</w:t>
            </w:r>
          </w:p>
        </w:tc>
        <w:tc>
          <w:tcPr>
            <w:tcW w:w="368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4" w:lineRule="atLeast"/>
              <w:jc w:val="center"/>
              <w:rPr>
                <w:rFonts w:eastAsia="Times New Roman"/>
                <w:color w:val="161616"/>
                <w:spacing w:val="0"/>
                <w:sz w:val="23"/>
                <w:szCs w:val="23"/>
              </w:rPr>
            </w:pPr>
            <w:r w:rsidRPr="00B84173">
              <w:rPr>
                <w:rFonts w:eastAsia="Times New Roman"/>
                <w:b/>
                <w:bCs/>
                <w:spacing w:val="0"/>
                <w:sz w:val="27"/>
                <w:szCs w:val="27"/>
              </w:rPr>
              <w:t>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r>
      <w:tr w:rsidR="00B84173" w:rsidRPr="00B84173" w:rsidTr="00B84173">
        <w:trPr>
          <w:trHeight w:val="144"/>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c>
          <w:tcPr>
            <w:tcW w:w="0" w:type="auto"/>
            <w:vMerge/>
            <w:tcBorders>
              <w:top w:val="nil"/>
              <w:left w:val="nil"/>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4" w:lineRule="atLeast"/>
              <w:jc w:val="center"/>
              <w:rPr>
                <w:rFonts w:eastAsia="Times New Roman"/>
                <w:color w:val="161616"/>
                <w:spacing w:val="0"/>
                <w:sz w:val="23"/>
                <w:szCs w:val="23"/>
              </w:rPr>
            </w:pPr>
            <w:r w:rsidRPr="00B84173">
              <w:rPr>
                <w:rFonts w:eastAsia="Times New Roman"/>
                <w:b/>
                <w:bCs/>
                <w:spacing w:val="0"/>
                <w:sz w:val="27"/>
                <w:szCs w:val="27"/>
              </w:rPr>
              <w:t>Mức 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4" w:lineRule="atLeast"/>
              <w:jc w:val="center"/>
              <w:rPr>
                <w:rFonts w:eastAsia="Times New Roman"/>
                <w:color w:val="161616"/>
                <w:spacing w:val="0"/>
                <w:sz w:val="23"/>
                <w:szCs w:val="23"/>
              </w:rPr>
            </w:pPr>
            <w:r w:rsidRPr="00B84173">
              <w:rPr>
                <w:rFonts w:eastAsia="Times New Roman"/>
                <w:b/>
                <w:bCs/>
                <w:spacing w:val="0"/>
                <w:sz w:val="27"/>
                <w:szCs w:val="27"/>
              </w:rPr>
              <w:t>Mức 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4" w:lineRule="atLeast"/>
              <w:jc w:val="center"/>
              <w:rPr>
                <w:rFonts w:eastAsia="Times New Roman"/>
                <w:color w:val="161616"/>
                <w:spacing w:val="0"/>
                <w:sz w:val="23"/>
                <w:szCs w:val="23"/>
              </w:rPr>
            </w:pPr>
            <w:r w:rsidRPr="00B84173">
              <w:rPr>
                <w:rFonts w:eastAsia="Times New Roman"/>
                <w:b/>
                <w:bCs/>
                <w:spacing w:val="0"/>
                <w:sz w:val="27"/>
                <w:szCs w:val="27"/>
              </w:rPr>
              <w:t>Mức 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r>
      <w:tr w:rsidR="00B84173" w:rsidRPr="00B84173" w:rsidTr="00B84173">
        <w:trPr>
          <w:trHeight w:val="316"/>
        </w:trPr>
        <w:tc>
          <w:tcPr>
            <w:tcW w:w="666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b/>
                <w:bCs/>
                <w:spacing w:val="0"/>
                <w:sz w:val="27"/>
                <w:szCs w:val="27"/>
              </w:rPr>
              <w:t>Tiêu chuẩn 1</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1.6</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1.7</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1.8</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1.9</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1.10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666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b/>
                <w:bCs/>
                <w:spacing w:val="0"/>
                <w:sz w:val="27"/>
                <w:szCs w:val="27"/>
              </w:rPr>
              <w:t>Tiêu chuẩn 2</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31"/>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2.1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2.2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Có 03 GV chưa đạt chuẩn đào tạo</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2.3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Thiếu nhân viên các vị trí: Thư viện, CNTT, Y tế</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666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b/>
                <w:bCs/>
                <w:spacing w:val="0"/>
                <w:sz w:val="27"/>
                <w:szCs w:val="27"/>
              </w:rPr>
              <w:t>Tiêu chuẩn 3</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3.1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Thiếu diện tích đất và thiếu bãi tập</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3.2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Còn thiếu các phòng học bộ môn: KHTN, KHXH, Tin học, Tiếng Anh, Âm nhạc, Mĩ thuật</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3.3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 xml:space="preserve">Thiếu các phòng tổ bộ môn, phòng y tế; Nhà xe có dấu hiệu xuống cấp; chưa có nhà kho. Thiếu trang thiết bị khối </w:t>
            </w:r>
            <w:r w:rsidRPr="00B84173">
              <w:rPr>
                <w:rFonts w:eastAsia="Times New Roman"/>
                <w:i/>
                <w:iCs/>
                <w:spacing w:val="0"/>
                <w:sz w:val="27"/>
                <w:szCs w:val="27"/>
              </w:rPr>
              <w:lastRenderedPageBreak/>
              <w:t>hành chính – quản trị; Cổng, tường bao đã xuống cấp</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lastRenderedPageBreak/>
              <w:t>Tiêu chí 3.4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Khu vệ sinh đã có dấu hiệu xuống cấp; hệ thống thoát nước đã xuống cấp</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3.5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Còn thiếu diện tích phòng thiết bị; Hệ thống máy tính còn thiếu và xuống cấp</w:t>
            </w:r>
          </w:p>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Còn thiếu thiết bị dạy học bộ môn</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i/>
                <w:iCs/>
                <w:spacing w:val="0"/>
                <w:sz w:val="27"/>
                <w:szCs w:val="27"/>
              </w:rPr>
              <w:t>Tiêu chí 3.6</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i/>
                <w:iCs/>
                <w:spacing w:val="0"/>
                <w:sz w:val="27"/>
                <w:szCs w:val="27"/>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i/>
                <w:iCs/>
                <w:spacing w:val="0"/>
                <w:sz w:val="27"/>
                <w:szCs w:val="27"/>
              </w:rPr>
              <w:t>Còn thiếu diện tích phòng thư viện; Thư viện chưa đạt chuẩn</w:t>
            </w:r>
          </w:p>
        </w:tc>
      </w:tr>
      <w:tr w:rsidR="00B84173" w:rsidRPr="00B84173" w:rsidTr="00B84173">
        <w:trPr>
          <w:trHeight w:val="316"/>
        </w:trPr>
        <w:tc>
          <w:tcPr>
            <w:tcW w:w="666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b/>
                <w:bCs/>
                <w:spacing w:val="0"/>
                <w:sz w:val="27"/>
                <w:szCs w:val="27"/>
              </w:rPr>
              <w:t>Tiêu chuẩn 4</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31"/>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4.1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4.2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9633"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b/>
                <w:bCs/>
                <w:spacing w:val="0"/>
                <w:sz w:val="27"/>
                <w:szCs w:val="27"/>
              </w:rPr>
              <w:t>Tiêu chuẩn 5</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5.1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5.2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5.3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5.4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6"/>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5.5</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31"/>
        </w:trPr>
        <w:tc>
          <w:tcPr>
            <w:tcW w:w="19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5.6</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bl>
    <w:p w:rsidR="00B84173" w:rsidRPr="00B84173" w:rsidRDefault="00B84173" w:rsidP="00B84173">
      <w:pPr>
        <w:shd w:val="clear" w:color="auto" w:fill="FFFFFF"/>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 </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1.1.2. Đánh giá tiêu chí Mức 4</w:t>
      </w:r>
    </w:p>
    <w:tbl>
      <w:tblPr>
        <w:tblW w:w="0" w:type="auto"/>
        <w:shd w:val="clear" w:color="auto" w:fill="FFFFFF"/>
        <w:tblCellMar>
          <w:left w:w="0" w:type="dxa"/>
          <w:right w:w="0" w:type="dxa"/>
        </w:tblCellMar>
        <w:tblLook w:val="04A0" w:firstRow="1" w:lastRow="0" w:firstColumn="1" w:lastColumn="0" w:noHBand="0" w:noVBand="1"/>
      </w:tblPr>
      <w:tblGrid>
        <w:gridCol w:w="2323"/>
        <w:gridCol w:w="2436"/>
        <w:gridCol w:w="2437"/>
        <w:gridCol w:w="2437"/>
      </w:tblGrid>
      <w:tr w:rsidR="00B84173" w:rsidRPr="00B84173" w:rsidTr="00B84173">
        <w:trPr>
          <w:trHeight w:val="312"/>
        </w:trPr>
        <w:tc>
          <w:tcPr>
            <w:tcW w:w="232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Tiêu chí</w:t>
            </w:r>
          </w:p>
        </w:tc>
        <w:tc>
          <w:tcPr>
            <w:tcW w:w="487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Kết quả</w:t>
            </w:r>
          </w:p>
        </w:tc>
        <w:tc>
          <w:tcPr>
            <w:tcW w:w="243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Nội dung đã đạt</w:t>
            </w:r>
          </w:p>
        </w:tc>
      </w:tr>
      <w:tr w:rsidR="00B84173" w:rsidRPr="00B84173" w:rsidTr="00B84173">
        <w:trPr>
          <w:trHeight w:val="14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3" w:lineRule="atLeast"/>
              <w:jc w:val="center"/>
              <w:rPr>
                <w:rFonts w:eastAsia="Times New Roman"/>
                <w:color w:val="161616"/>
                <w:spacing w:val="0"/>
                <w:sz w:val="23"/>
                <w:szCs w:val="23"/>
              </w:rPr>
            </w:pPr>
            <w:r w:rsidRPr="00B84173">
              <w:rPr>
                <w:rFonts w:eastAsia="Times New Roman"/>
                <w:b/>
                <w:bCs/>
                <w:spacing w:val="0"/>
                <w:sz w:val="27"/>
                <w:szCs w:val="27"/>
              </w:rPr>
              <w:t>Không đạt</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143" w:lineRule="atLeast"/>
              <w:jc w:val="center"/>
              <w:rPr>
                <w:rFonts w:eastAsia="Times New Roman"/>
                <w:color w:val="161616"/>
                <w:spacing w:val="0"/>
                <w:sz w:val="23"/>
                <w:szCs w:val="23"/>
              </w:rPr>
            </w:pPr>
            <w:r w:rsidRPr="00B84173">
              <w:rPr>
                <w:rFonts w:eastAsia="Times New Roman"/>
                <w:b/>
                <w:bCs/>
                <w:spacing w:val="0"/>
                <w:sz w:val="27"/>
                <w:szCs w:val="27"/>
              </w:rPr>
              <w:t>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84173" w:rsidRPr="00B84173" w:rsidRDefault="00B84173" w:rsidP="00B84173">
            <w:pPr>
              <w:spacing w:after="0"/>
              <w:jc w:val="left"/>
              <w:rPr>
                <w:rFonts w:eastAsia="Times New Roman"/>
                <w:color w:val="161616"/>
                <w:spacing w:val="0"/>
                <w:sz w:val="23"/>
                <w:szCs w:val="23"/>
              </w:rPr>
            </w:pPr>
          </w:p>
        </w:tc>
      </w:tr>
      <w:tr w:rsidR="00B84173" w:rsidRPr="00B84173" w:rsidTr="00B84173">
        <w:trPr>
          <w:trHeight w:val="312"/>
        </w:trPr>
        <w:tc>
          <w:tcPr>
            <w:tcW w:w="23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1</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2"/>
        </w:trPr>
        <w:tc>
          <w:tcPr>
            <w:tcW w:w="23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2</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27"/>
        </w:trPr>
        <w:tc>
          <w:tcPr>
            <w:tcW w:w="23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3</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2"/>
        </w:trPr>
        <w:tc>
          <w:tcPr>
            <w:tcW w:w="23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4</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12"/>
        </w:trPr>
        <w:tc>
          <w:tcPr>
            <w:tcW w:w="23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lastRenderedPageBreak/>
              <w:t>Tiêu chí 5</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r w:rsidR="00B84173" w:rsidRPr="00B84173" w:rsidTr="00B84173">
        <w:trPr>
          <w:trHeight w:val="327"/>
        </w:trPr>
        <w:tc>
          <w:tcPr>
            <w:tcW w:w="23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6</w:t>
            </w:r>
          </w:p>
        </w:tc>
        <w:tc>
          <w:tcPr>
            <w:tcW w:w="2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spacing w:val="0"/>
                <w:sz w:val="27"/>
                <w:szCs w:val="27"/>
              </w:rPr>
              <w:t>x</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2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r>
    </w:tbl>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i/>
          <w:iCs/>
          <w:spacing w:val="0"/>
          <w:sz w:val="27"/>
          <w:szCs w:val="27"/>
        </w:rPr>
        <w:t>Kết luận:</w:t>
      </w:r>
      <w:r w:rsidRPr="00B84173">
        <w:rPr>
          <w:rFonts w:eastAsia="Times New Roman"/>
          <w:spacing w:val="0"/>
          <w:sz w:val="27"/>
          <w:szCs w:val="27"/>
        </w:rPr>
        <w:t> Phấn đấu đạt kiểm định chất lượng giáo dục: 02.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1.2. Đánh giá theo Chuẩn quốc gia:</w:t>
      </w:r>
      <w:r w:rsidRPr="00B84173">
        <w:rPr>
          <w:rFonts w:eastAsia="Times New Roman"/>
          <w:spacing w:val="0"/>
          <w:sz w:val="27"/>
          <w:szCs w:val="27"/>
        </w:rPr>
        <w:t> Phấn đấu đạt Chuẩn quốc gia Mức độ 02.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3. Đánh giá chung.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3.1. Điểm mạnh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Cơ sở vật chất đang được qui hoạch theo thiết kế trường đạt chuẩn quốc gia; Trang thiết bị phục vụ các hoạt động giáo dục dần được trang bị hiện đại, đáp ứng yêu cầu bước đầu;</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Đội ngũ cán bộ quản lý đầy đủ, đạt chuẩn; nhiệt tình, có tinh thần trách nhiệm cao;</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Nhiều cán bộ, giáo viên có nhiều kinh nghiệm trong chuyên môn và trong công tác kiểm tra đánh giá; các tổ trưởng, tổ phó chuyên môn đều có năng lực và kinh nghiệm;</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Đa số giáo viên trẻ, nhiệt tình, đạt chuẩn, có tinh thần cầu tiến, trách nhiệm, tâm huyết với nghề;</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Việc đổi mới phương pháp dạy học, nhất là ứng dụng công nghệ thông tin đang được đẩy mạnh;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Thực hiện chế độ thông tin báo cáo đa chiều, kịp thời, tinh gọn. Luôn đổi mới ứng dụng công nghệ thông tin trong quản lý, dạy và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Đa số học sinh có ý thức, hạnh kiểm tốt; môi trường sư phạm an toàn, lành mạnh, đảm bảo cho dạy và học cũng như công tác giáo dục của thầy và trò;</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Chỉ đạo chủ động các hoạt động giáo dục của nhà truờng về quản lý tài chính, quản lý hành chính, thực hiện tốt công tác dân chủ, công khai trong truờng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3.2. Hạn chế.</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Học sinh đầu vào chất lượng còn thấp, nhiều em chưa có động cơ học tập, còn thụ động;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Một số giáo viên chưa đạt chuẩn đào tạo (03 giáo viên); vẫn còn hiện tượng thừa và thiếu giáo viên cục bộ ở một số bộ môn;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Một số giáo viên trẻ chưa có nhiều kinh nghiệm trong giảng dạy cũng như trong công tác giáo dục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Một số giáo viên vẫn còn lúng túng trong đổi mới phương pháp dạy học, chưa khai thác tối đa nguồn lực công nghệ thông tin.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Công tác phối hợp giữa các tổ chức đoàn thể chưa thực sự đồng bộ;</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Kinh phí tự chủ nhà trường còn hạn hẹp, cho nên việc đầu tư mua sắm trang thiết bị dạy học, sách thư viện, ... chưa đáp ứng được hết nhu cầu hoạt động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Cơ sở vật chất, thiết bị dạy học, đã được quan  tâm đầu tư, phát triển, tuy nhiên đối chiếu với yêu cầu của trường chuẩn cấp độ 2 thì còn một số khó khăn: Thiếu diệ tích đất, chưa có bãi tập phục vụ cho môn giáo dục thể chất; phòng học và thiết bị đặc trưng của các phòng học bộ môn, phòng chức năng còn thiếu; khối phòng phục vụ học tập qua nhiều năm sử dụng đã xuống cấp, còn thiếu; chưa phục vụ tốt cho các môn học cũng như các hoạt động ngoài giờ lên lớp khác; chưa có phòng nghe nhìn để giảng dạy ngoại ngữ; phòng máy tính phục vụ dạy Tin học đã xuống cấp, còn thiếu thiết bị, một số phòng bộ môn còn thiếu (Âm nhạc, mĩ thuật, công nghệ, khoa học tự nhiên, ...) và một số phòng diện tích chưa đủ quy chuẩn;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Học sinh của trường vẫn chưa có ý thức cao trong việc bảo quản tài sản và giữ gìn vệ sinh chung;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Công tác xã hội hóa giáo dục vẫn còn hạn chế.</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III. KẾ HOẠCH CẢI TIẾN CHẤT LƯỢNG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1. Mục tiêu.</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Phấn đấu nâng dần chất luợng các tiêu chí, tiêu chuẩn và các chỉ số.</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Tham mưu để đảm bảo các điều kiện về cơ sở vật chất của nhà truờng;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Phấn đấu trong các năm học 2023-2024, 2024-2025 truờng đạt kiểm định chất lượng, truờng chuẩn Quốc gia mức độ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2. Kế hoạch.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2.1. Năm học 2023-2024</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Thực hiện phát triển chiến lược nhà trường giai đoạn 2020-2025 và định huớng đến 2030, các kế hoạch chiến lược hằng năm, kế hoạch trung hạn, kế hoạch dài hạn. Ðảm bảo tốt việc quản lý hành chính, học chính và tài chính;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Tích cực đổi mới công tác dạy học, tổ chức các hoạt động giáo dục nâng cao năng lực cá nhân từng học sinh. Ðổi mới công tác bồi dưỡng giáo viên, chú trọng việc tự học, tự bồi dưỡng của giáo viên và bồi dưỡng nâng cao năng lực và dạy và học Tiếng Anh;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Tham mưu, đề xuất với các cấp, các ngành đầu tư thêm cơ sở vật chất cho nhà truờng đáp ứng yêu cầu trường chuẩn Quốc gia (cấp độ 2) và để đảm bảo đáp ứng dạy và học cũng như tổ chức các hoạt động giáo dục khác; xây dựng thêm phòng học bộ môn đáp ứng nhu cầu và các điều kiện cho dạy và học, từng bước đầu tư trang thiết bị dạy học để đáp ứng yêu cầu đổi mới;</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Quản lý tốt các hoạt động giáo dục, nâng cao chất lượng 2 mặt giáo dục của học sinh. Thực hiện hiệu quả đổi mới chương trình giáo dục phổ thông (Lớp 6), chuẩn bị tốt các điều kiện cho triển khai của lớp 7.</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Tiếp tục hoàn thiện hồ sơ, đề nghị Phòng GD&amp;ĐT, Sở GD&amp;ĐT kiểm tra, tư vấn.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2.2. Nội dung thực hiện những năm tiếp theo.</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Tiếp tục quan tâm bồi dưỡng đội ngũ, phát huy vai trò nòng cốt để nhân rộng tấm gương điển hình nhằm phát huy năng lực của người dạy. Tạo điều kiện để giáo viên tham gia các lớp bồi dưỡng chuyên môn nghiệp vụ, </w:t>
      </w:r>
      <w:r w:rsidRPr="00B84173">
        <w:rPr>
          <w:rFonts w:eastAsia="Times New Roman"/>
          <w:i/>
          <w:iCs/>
          <w:color w:val="161616"/>
          <w:spacing w:val="0"/>
          <w:sz w:val="26"/>
          <w:szCs w:val="26"/>
        </w:rPr>
        <w:t>nâng chuẩn</w:t>
      </w:r>
      <w:r w:rsidRPr="00B84173">
        <w:rPr>
          <w:rFonts w:eastAsia="Times New Roman"/>
          <w:spacing w:val="0"/>
          <w:sz w:val="27"/>
          <w:szCs w:val="27"/>
        </w:rPr>
        <w:t>, bồi dưỡng ngoại ngữ, tin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Ðảm bảo tốt các chế độ chính sách cho đội ngũ cán bộ, giáo viên, nhân viên và các chế độ chính sách cho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Tiếp tục tham mưu, đề xuất với các cấp, các ngành sớm hoàn thiện thêm cơ sở vật chất cho nhà trường đảm bảo để duy trì trường chuẩn.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Phát huy tối đa sự tham gia của cộng đồng và cha mẹ học sinh vào tất cả các hoạt động của nhà trường để nâng cao chất lượng. Quản lý tốt các hoạt động giáo dục, nâng cao chất lượng 2 mặt giáo dục của học sinh. Tiếp tục triển khai và thực hiện hiệu quả việc rút kinh nghiệm đổi mới chương trình giáo dục phổ thông 2018 của lớp 6, kế thừa những kết quả tốt, rút kinh nghiệm các hạn chế, dần tiếp cận với chương trình lớp 7, 8, 9.</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IV. GIẢI PHÁP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lastRenderedPageBreak/>
        <w:t>A. Giải pháp cụ thể triển khai thực hiện cải tiến nâng cao chất lượng các tiêu chí, tiêu chuẩn (nói chung).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1. Tiêu chuẩn 1: Tổ chức và quản lý nhà truờng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1.1: Phương hướng chiến lược xây dựng và phát triển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Xây dựng kế hoạch phát triển học sinh và đội ngũ, cơ sở vật chất; Hằng năm có điều chỉnh, bổ sung cho phù hợp với điều kiện thực tế của nhà trường và địa phương;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học 2023-2024 và những năm tiếp theo nhà trường tiếp tục thông qua các tổ chức chi bộ, đoàn thể, giáo viên, nhân viên, Ban đại diện cha mẹ học sinh, phát huy ý kiến đóng góp rộng rãi hơn cho việc điều chỉnh, bổ sung kế hoạch chiến lược phát triển nhà trường giai đoạn 2021 đến 2025 và tầm nhìn đến 2030 cho phù hợp với từng thời điểm và điều kiện thực tế của nhà trường và địa phương;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Tổ chức viêc̣ giám sát thực hiện phương hướng chiến lược xây dựng và phát triển của nhà trường theo từng giai đoaṇ thường xuyên và kịp thời hơn; định kỳ sẽ rà soát, đánh giá, bổ sung, điều chỉnh phương hướng, chiến lược xây dựng và phát triển cho phù hợp với các nguồn lực của nhà trường và định hướng phát triển kinh tế - xã hội của địa phương.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1.2: Hội đồng trường và các hội đồng khác.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Hàng năm kiện toàn Hội đồng truờng (nếu có), và các hội đồng khác trong nhà trường đảm bảo theo đúng điều lệ trường trung học cơ sở; tiếp tuc̣ duy trì, phát huy các điểm mạnh đã có, phân công trách nhiệm cụ thể cho các thành viên trong Hội đồng trường phù hợp với vai trò, khả năng đảm đương nhiệm vụ; bổ sung cơ cấu phù hợp để thay thế theo hoàn cảnh từng năm học nhằm phát huy hiệu quả hoạt động; kịp thời thành lập các Hội đồng tư vấn giúp cho Hiệu trưởng xây dựng kế hoạch và tổ chức thực hiện các hoạt động ở từng thời điểm cụ thể.</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lastRenderedPageBreak/>
        <w:t>Tiêu chí 1.3: Tổ chức Ðảng cộng sản Việt Nam, các tổ chức đoàn thể và tổ chức khác trong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Bắt đầu từ năm học 2023-2024 trở đi, Chi bộ, Ban giám hiệu, các tổ chức đoàn thể trong nhà trường tiếp tục duy trì, phát huy tốt các kết quả đã đạt được. Quan tâm chỉ đạo Chi đoàn xem xét kết nạp bổ sung đoàn viên học sinh hàng năm cho chi đoàn theo kế hoạch, tạo lực lượng mạnh và tổ chức các hoạt động phong phú, chất lươṇg hơn;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Tiếp tục chỉ đạo, hỗ trợ tổ tư vấn tâm lý xây dựng kế hoạch hoạt động cụ thể hơn, phối hợp cùng với giáo viên chủ niệm làm tốt công tác tư vấn và giáo dục cho những HS cá biệt.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1.4: Hiệu trưởng, Phó Hiệu truởng, tổ chuyên môn, tổ văn phòng.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Từ năm học 2023-2024 và các năm học tiếp theo, nhà trường tiếp tục phát huy những điểm mạnh đã có, BGH nỗ lực nhiều hơn nữa việc học hỏi, đúc rút kinh nghiêṃ trong công tác quản lý để định hướng, điều hành nhà trường phát triển đi lên;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Chỉ đạo các tổ chuyên môn tiếp tục thực hiện nề nếp sinh hoạt chuyên môn và đề ra các biện pháp cụ thể trong kế hoạch để nâng cao chất lượng dạy và học; Tổ chức thảo luận, trao đổi nghiệp vụ chuyên môn, ứng dụng công nghệ thông tin, từng bước dạy học theo hướng tích hợp liên môn, dạy học theo chuyên đề, chủ đề STEM, tăng cường sinh hoạt chuyên môn theo nhóm bộ môn nhằm ngày càng nâng cao chất lượng sinh hoạt chuyên môn; các môn học chỉ có một GV giảng dạy sẽ đề xuất cho ghép với các trường lân cận trong việc sinh hoạt chuyên môn nhóm định kỳ hàng tháng.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Tổ văn phòng hoạt động theo điều lệ, tập trung phát huy tốt việc tổ chức kiểm tra giám sát việc thực hiện các nhiệm vụ, quan tâm kiểm soát tốt phòng chống dịch bệnh Covid -19.</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1.5: Số lớp và tổ chức lớp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 Trong năm học này và những năm học tiếp theo, Ban giám hiệu tiếp tục tham mưu với chính quyền địa phương, Ban đại diện cha mẹ học sinh thường xuyên tuyên truyền, vận động học sinh, phụ huynh học sinh nâng cao ý thức, khắc phục khó khăn cho con em đến trường, đảm bảo sĩ số, hạn chế học sinh bỏ học, đồng thời huy động các nguồn lực bên ngoài nhà trường hỗ trợ cho những học sinh có hoàn cảnh khó khăn;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Ban giám hiệu tiếp tục chỉ đạo Đoàn Đội thường xuyên tổ chức các buổi tập huấn cho ban cán sự lớp để nâng cao năng lực điều hành, tự quản của các em trong hoạt động của lớp;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Phát huy vai trò quản lý và nguyên tắc tự quản trong các lớp học và tính dân chủ; chủ động để duy trì tốt các khối lớp theo kế hoạch phát triển sự nghiệp.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1.6: Quản lý hành chính, tài chính và tài sản.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Từ năm học 2023-2024, tiếp tuc̣ phát huy các điểm mạnh đã có; Ban giám hiệu tiếp tục tập trung chỉ đạo cho Tổ văn phòng thực hiện công tác cải cách hành chính, lưu trữ hồ sơ khoa học hơn nữa, và thường xuyên có kế hoạch kiểm tra, đánh giá điều chỉnh kịp thời những sai sót trong công tác lưu trữ;</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Tiếp tục thực hiện công khai, minh bạch về sử dụng tài chính, tài sản trong nhà truờng. Thực hiện tốt việc thực hành tiết kiệm trong sử dụng văn phòng phẩm, điện thắp sáng, nước sinh hoạt. Thực hiện tốt công tác rà soát và công khai theo thông tư 36/TT-BGDÐT, Nghị định 24/2021 của chính phủ;</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Lãnh đạo nhà trường tạo điều kiện cho Ban thanh tra nhân dân tham gia đầy đủ các khóa tập huấn tăng cường công tác bồi dưỡng nghiệp vụ do cấp trên tổ chức; đôn đốc ban kiểm tra tài chính, tài sản của nhà trường kiểm tra đúng tiến độ và chặt chẽ hơn theo kế hoạch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Tâp̣ trung xây dưṇg kế hoạch trung hạn cho đến năm 2025 để tạo các nguồn tài chính hợp pháp phù hợp với điều kiện nhà trường, thực tế địa phương.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1.7: Quản lý cán bộ, giáo viên, nhân viên.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học 2023-2024 và những năm hoc̣ tiếp theo nhà trường tiếp tuc̣ tập trung các biện pháp để phát huy năng lực của cán bộ quản lý, giáo viên, nhân viên hơn nữa: Xây dựng quy chế, nội quy làm việc, phân công, bố trí nhiệm vụ cho đội ngũ phù hợp với chuyên môn và năng lực; khuyến khích, động viên giáo viên tham gia các lớp nâng chuẩn (dự kiến kế hoạch đến năm 2023 là toàn bộ 100% GV đạt chuẩn theo Luật Giáo dục mới 2019);</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1.8: Quản lý các hoạt động giáo dục.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học này và những năm tiếp theo nhà trường tiếp tuc̣ đẩy mạnh công tác quản lý, tổ chức triển khai, kiểm tra thường xuyên các hoạt động giáo dục; chỉ đạo chuyên môn, tổ chuyên môn tập trung tìm giải pháp trong dạy và học để nâng cao chất lượng đại trà, cụ thể:</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Tổ chuyên môn tiếp tục triển khai cho giáo viên thực hiện đổi mới các phương pháp dạy học tích cực, tiếp cận và thực hiện phương pháp dạy học theo dự án; Chú trọng cải tiến nội dung sinh hoạt tổ chuyên môn, tích cực trao đổi, thảo luận các chủ đề về: Nội dung giảng dạy, tháo gỡ những vướng mắc khi gặp bài dài, bài khó, ... xây dựng các chuyên đề đổi mới phương pháp dạy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Tổ chức thực hiện được đa dạng các chủ đề dạy học theo định hướng giáo dục STEM; phân công mỗi tổ thực hiện ít nhất 02 chủ đề dạy học STEM/năm;</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Tổ chức thực hiện thao giảng, hội giảng giáo viên cấp trường, với tất cả các tiết đều phải thực hiện ứng dụng công nghệ thông tin trong dạy học, áp dụng các phương pháp dạy học tích cực mới; Chú trọng việc dạy học thực hành trong giờ chính khoá, rèn kỹ năng cho giáo viên, liên hệ thực tế phù hợp nội dung bài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Chỉ đạo giáo viên thiết kế tiến trình dạy học trong mỗi tiết học thành một chuỗi các hoạt động dạy và học; sử dụng các phương pháp và kỹ thuật dạy học tích cực nhằm tổ chức cho HS phát hiện kiến thức.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1.9: Thực hiện quy chế dân chủ ở cơ sở.</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Xây dựng và thực hiện tốt quy chế dân chủ ở cơ sở đảm bảo công khai, minh bạch, hiệu quả. Nhà trường tiếp tuc̣ đẩy mạnh công tác tuyên truyền, phổ biến, quán triệt các chủ trương, chính sách, pháp luật về Quy chế dân chủ thường xuyên và kịp thời.</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Khích lệ, tạo điều kiện cho giáo viên, công nhân viên trong nhà trường phát huy vai trò, trách nhiệm, mạnh dạn trong bàn bạc, góp ý, giám sát các công việc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1.10: Ðảm bảo an ninh trật tự, an toàn trường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học này và những năm hoc̣ tiếp theo nhà trường tiếp tục quan tâm nhiều hơn nữa trong công tác đảm bảo an ninh trật tự, an toàn cho học sinh và cho cán bộ, giáo viên, nhân viên; Thường xuyên kiện toàn các Ban, rà soát hoạt động để đánh giá, rút kinh nghiệm nhằm khắc phục những tồn tại, hạn chế và đề ra các biện pháp phù hợp, hiệu quả hơn trong công tác đảm bảo an ninh trật tự trường học; Tăng cường công tác tuyên truyền giáo dục, đẩy mạnh giáo dục kỹ năng sống cho học sinh; tích cực phối hợp với địa phương, gia đình giáo dục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Tăng cường công tác giáo dục ý thức chấp hành pháp luật, nội quy truờng lớp, ngăn chặn và xử lý kịp thời những trường hợp vi phạm. Phối hợp tốt với chính quyền địa phương, các ngành chức năng để kiểm tra, thu thập đánh giá, xử lý các thông tin, biểu hiện đến bạo lực học đường, an ninh trật tự và có biện pháp ngăn chặn hiệu quả. Tổ chức tập huấn và truyền thông thường xuyên về đảm bảo an toàn trường học, phòng chống tệ nạn xã hội, thực hiện tốt quy định về bình đẳng giới.</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2. Tiêu chuẩn 2: Cán bộ quản lý, giáo viên, nhân viên và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2.1: Ðối với Hiệu trưởng, phó hiệu trưởng.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 Ban giám hiệu tiếp tục đổi mới công tác quản lý, nâng cao hiệu quả, chất lượng giáo dục toàn diện của nhà truờng. Chủ động trong chỉ đạo các hoạt động chuyên môn và lĩnh vực chuyên môn mới;</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Thuờng xuyên bồi duỡng và nâng cao hiệu quả sử dụng tin học ngoại ngữ trong công tác.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2.2: Ðối với giáo viên.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Ngay từ đầu năm học 2023-2024, nhà trường đã động viên và tạo điều kiện cho các giáo viên chưa đạt chuẩn (03 GV) tham gia các lớp Đại học để nâng chuẩn (các GV chưa đạt chuẩn đăng ký học các lớp đại học theo kế hoạch của UBND huyện). Theo lộ trình kế hoạch của nhà trường đưa ra thì đến hết năm 2023 nhà trường sẽ có 100% GV đạt chuẩn theo qui định.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2.3: Ðối với nhân viên.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Tham muu với các cấp để nhà truờng cơ bản đảm bảo đủ số lượng và cơ cấu, đặc biệt đề xuất bổ sung thêm nhân viên CNTT, Thư viện và tư vấn tâm lý;</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Nhà truờng đánh giá, nhận xét, xếp loại chính xác, khách quan nhân viên theo quy định;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Bố trí, sắp xếp cho nhân viên dự các lớp bồi dưỡng, tập huấn chuyên môn nghiệp vụ. Nhân viên văn phòng thuờng xuyên cải tiến các biện pháp thực hiện nhiệm vụ để nâng cao hiệu quả công việc.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2.4: Ðối với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 Từ năm học 2023-2024 và những năm học tiếp theo, nhà trường tâp̣ trung nhiều hơn công tác tuyên truyền giáo dục, giáo dục kỹ năng sống, kỹ năng ứng xử; Phối hợp với địa phương, gia đình để giáo dục học sinh, và thường xuyên kiểm tra nhắc nhở, chấn chỉnh kịp thời những vi phạm của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Tiếp tục kiện toàn Ban nề nếp của trường và lên kế hoạch cụ thể việc kiểm tra nề nếp hàng tháng;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Bồi dưỡng đội ngũ giáo viên chủ nhiệm các lớp, chọn những giáo viên chủ nhiệm có năng lực và tâm huyết với nghề, có tinh thần trách nhiệm quan tâm đến lớp và có những giải pháp hữu hiệu để giáo dục học sinh cá biệt.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3. Tiêu chuẩn 3: Cơ sở vật chất và trang thiết bị dạy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3.1: Khuôn viên, khu sân chơi, bãi tập.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học này, nhà trường đã tham mưu với các cấp, ngành lên kế hoạch và đề nghị UBND huyện cấp kinh phí sửa chữa cổng và tường bao; xin bổ sung hạng mục mở rộng diện tích đất và bãi tập vào kế hoạch thực hiện đến hết năm 2023. Trong năm 2023-2024 và những năm học tiếp theo, Nhà trường tiếp tuc̣ tham mưu, đề xuất, để trang bi ̣thêm các thiết bi ̣dạy học môn giáo dục thể chất, thể thao, đáp ứng tốt hơn nữa cho hoạt động dạy và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3.2: Phòng học, phòng học bộ môn và khối phục vụ học tập.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Từ năm học 2023-2024 và những năm tiếp theo, nhà trường tiến hành rà soát đánh giá thực trạng phòng học, phòng bộ môn để kiến nghị UBND huyện, ngành GD&amp;ĐT tiếp tục xây dựng mới, đảm bảo đủ, đúng theo các quy định hiện hành; Sắp xếp bố trí 01 phòng học riêng để tổ chức giáo dục cho học sinh hoàn cảnh đặc biệt;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ml:space="preserve">- Trong năm học này nhà trường đã tham mưu với UBND huyện, Phòng Tài chính – Kế hoạch, ngành GD&amp;ĐT bổ sung trang thiết bị hiện đại cho các phòng bộ môn như phòng Ngoại ngữ, phòng tin học, phòng Âm nhạc, phòng Mỹ thuật để theo kịp với sự phát triển của </w:t>
      </w:r>
      <w:r w:rsidRPr="00B84173">
        <w:rPr>
          <w:rFonts w:eastAsia="Times New Roman"/>
          <w:spacing w:val="0"/>
          <w:sz w:val="27"/>
          <w:szCs w:val="27"/>
        </w:rPr>
        <w:lastRenderedPageBreak/>
        <w:t>công nghệ. Bên cạnh đó, tiếp tục kiến nghị UBND huyện, Phòng Tài chính – Kế hoạch và tận dụng các nguồn kinh phí để đầu tư mua sắm mới thêm các trang thiết bị dạy và học, cũng như nâng cấp, sửa chữa cơ sở vâṭ chất: bàn, ghế, đèn điện, quạt ở các khối phòng học, bảo đảm tốt phục vụ dạy và học trong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3.3: Khối hành chính- quản trị.</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học 2023-2024, tiếp tục kiến nghị UBND huyện, Phòng Tài chính – Kế hoạch, UBND xã tiếp tục đầu tư cải tạo các hạng mục có dấu hiệu xuống cấp và còn thiếu (nhà xe, nhà kho, cổng, tường bao), mua sắm trang thiết bị đảm bảo đáp ứng đủ hoạt động của các phòng khối hành chính – quản trị. Tiếp tục phát huy các điểm mạnh sẵn có, nhà trường sẽ có kế hoạch đầu tư thêm trang thiết bị để hỗ trợ hiệu quả các hoạt động hành chính – quản trị chung; tăng cường công tác kiểm tra, qua đó chỉ đạo bộ phận Văn phòng quản lý hồ sơ, sổ sách khoa học hơn nữa, ứng dụng tốt công nghệ thông tin trong công tác quản lý, quản trị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3.4: Khu vệ sinh, hệ thống thoát nước.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các năm học tiếp theo nhà trường tiếp tục kiến nghị UBND huyện, Phòng Tài chính – Kế hoạch, UBND xã tiếp tục đầu tư xây mới, cải tạo khu vệ sinh. Có kế hoạch, giải pháp bổ sung khu vệ sinh, đảm bảo có hệ thống sử dụng tiện lợi cho học sinh khuyết tật hòa nhập. Bên cạnh đó, tiếp tục tăng cường công tác tuyên truyền, giáo dục ý thức giữ gìn môi trường sống, học tập, sinh hoạt cho học sinh thường xuyên trong các buổi sinh hoạt dưới cờ, phát thanh măng non, hoạt động ngoại khóa, sinh hoạt chủ nhiệm, ...</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3.5: Thiết bị.</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 Tiếp tục kiến nghị UBND huyện, Phòng Tài chính – Kế hoạch đầu tư mua sắm trang thiết bị đảm bảo đáp ứng đủ hoạt động dạy-học;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Tiếp tục làm tốt công tác xã hội hóa, vận dụng các nguồn kinh phí để đầu tư mua sắm mới và sửa chữa các trang thiết bị bảo đảm tốt cho công tác quản lý và giảng dạy trong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Tiếp tục bổ sung trang thiết bị, đồ dùng dạy học, các phần mềm ứng dụng cho công tác giảng dạy; đưa nội dung ứng dụng công nghệ thông tin trong dạy học vào tiêu chí thi đua;</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Thuờng xuyên kiểm tra, chấn chỉnh việc khai thác, sử dụng thiết bị hiện có và phát động giáo viên làm thêm dồ dùng dạy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3.6: Thư viện.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Năm học 2023-2024, nhà trường sẽ hoàn thiện hồ sơ, trình cấp có thẩm quyền công nhận Thư viện nhà trường đạt chuẩn theo quy định. Và các năm học tiếp theo, nhà trường sẽ giao cho nhân viên thư viện của trường thường xuyên rà soát và đề nghị bổ sung thêm một số sách tham khảo, sách nghiệp vụ theo yêu cầu đăng kí của giáo viên phục vụ cho công tác dạy, bồi dưỡng học sinh giỏi, bằng nguồn kinh phí ngân sách. Đồng thời thanh lý các ấn phẩm cũ, nát, nội dung không còn phù hợp, bên cạnh đó, tăng cường công tác giáo dục tuyên truyền học sinh khả năng tự học ở sách báo, thư viện; Hưởng ứng và tổ chức tốt các hoạt động Tuần lễ học tập suốt đời, ngày hội đọc sách, thi kể chuyện lịch sử theo sách;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Tăng cường viết bài, đưa tải thông tin lên website của trường nhằm đáp ứng nhu cầu tìm hiểu của cán bộ, giáo viên, nhân viên, học sinh và các bậc cha mẹ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4. Tiêu chuẩn 4: Quan hệ giữa nhà truờng, gia đình và xã hội.</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4.1: Ban dại diện cha mẹ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ml:space="preserve">- Trong năm hoc̣ 2023-2024 và những năm tiếp theo, Nhà trường tiếp tục tạo mọi điều kiện cho Ban đại diện cha mẹ học sinh hoạt động hiệu quả hơn, thực hiện đầy đủ nhiệm vụ, </w:t>
      </w:r>
      <w:r w:rsidRPr="00B84173">
        <w:rPr>
          <w:rFonts w:eastAsia="Times New Roman"/>
          <w:spacing w:val="0"/>
          <w:sz w:val="27"/>
          <w:szCs w:val="27"/>
        </w:rPr>
        <w:lastRenderedPageBreak/>
        <w:t>quyền, trách nhiệm theo Điều lệ Ban đại diện cha mẹ học sinh; củng cố và nâng cao trách nhiệm của cha mẹ học sinh, huy động đại diện cha mẹ học sinh các lớp tích cực đề xuất các biện pháp giáo dục học sinh nhiều hơn nữa;</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Thường xuyên phối hợp giữa nhà trường và cha mẹ học sinh trong việc tổ chức thực hiện các hoạt động giáo dục để điều chỉnh các biện pháp giáo dục học sinh phù hợp, giải quyết các kiến nghị kịp thời;</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Tăng cường việc quản lý và giáo dục học sinh, đặc biệt là học sinh cá biệt, học sinh có hoàn cảnh khó khăn.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4.2: Công tác tham mưu với cấp ủy Ðảng, chính quyền và phối hợp với các tổ chức, cá nhân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Từ năm 2023-2024 và những năm tiếp theo nhà trường vẫn tiếp tục tham mưu với các cấp Đảng ủy, chính quyền địa phương tạo điều kiện cho nhà trường nhiều hơn nữa trong việc thực hiện phương hướng, phát triển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Tích cực hơn trong việc huy động và sử dụng có hiệu quả các nguồn lực tự nguyện, theo quy định của các tổ chức, cá nhân để góp phần xây dựng nhà trường và môi trường giáo dục ngày phát triển;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Nhà trường tiếp tục tăng cườngphối hợp hiệu quả với các tổ chức ban ngành, đoàn thể của địa phương trong việc giáo dục truyền thống lịch sử, văn hóa, đạo đức lối sống, pháp luật cho học sinh; Chỉ đạo cán bộ, giáo viên, nhân viên tuyên truyền trong nhân dân và cha mẹ học sinh ở địa phương về việc đổi mới phương pháp dạy học của giáo viên về nội dung chương trình giáo dục phổ thông mới 2018 sẽ được áp dụng vào lớp 6 và lớp 7 trong năm 2023-2024.</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5. Tiêu chuẩn 5: Hoạt động giáo dục và kết quả giáo dục.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5.1: Thực hiện chương trình giáo dục phổ thông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 Trong năm 2023-2024 và những năm học tiếp theo tiếp tục phát huy, duy trì việc thực hiện tốt chương trình giảng dạy, kế hoạch dạy học; tăng cường chỉ đạo các tổ chuyên môn vận dụng tốt các phương pháp dạy học tích cực vào giảng dạy; Chỉ đạo chuyên môn xây dựng kế hoạch tổ chức các hình thức kiểm tra, đánh giá học sinh đa dạng hơn, chú trọng đến hoạt động trải nghiệm sáng tạo, dạy học theo dự án, ... Quán triệt, động viên cán bộ, giáo viên tham gia đầy đủ và học nghiêm túc các lớp tập huấn chương trình giáo dục phổ thông mới 2018, chuẩn bị cho năm học 2023-2024 và những năm tiếp theo.</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5.2: Tổ chức các hoạt động giáo dục cho học sinh có hoàn cảnh khó khăn, học sinh có năng khiếu, học sinh gặp khó khăn trong trong học tập và rèn luyện.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2023-2024 và những năm học tiếp theo nhà trường tiếp tục phát huy các điểm mạnh; Hiệu trưởng tiếp tục chỉ đạo tốt công tác bồi dưỡng học sinh giỏi và phụ đạo học sinh yếu kém nhằm đưa chất lượng giáo dục được nâng lên; Phân công và giao cho những giáo viên có năng lực chuyên môn tốt trong công tác bồi dưỡng học sinh giỏi khối 9 ngay khi kết thúc năm học cũ, để giáo viên được phân công bồi dưỡng xây dựng kế hoạch giảng dạy sát hơn với học sinh; Bên cạnh đó xây dựng kế hoạch và sắp xếp thời gian hợp lý tổ chức bồi dưỡng học sinh giỏi khối 8 ngay trong năm học để tạo nguồn cho năm kế tiếp;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Cán bộ quản lý và giáo viên chủ nhiệm tăng cường phối hợp với phụ huynh có học sinh yếu, kém để động viên các em đi học chuyên cần hơn, tạo cho các em tâm lý thoải mái, tự tin hơn; Đối với giáo viên trực tiếp giảng dạy chú ý hướng dẫn phương pháp tự học, giúp học sinh học ở nhà hiệu quả hơn;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Hiệu trưởng tiếp tục tham mưu với Ban đại diện cha mẹ học sinh, Hội khuyến học địa phương tranh thủ vận động quỹ khuyến học để làm tốt công tác khen thưởng các hoạt động của nhà trường trong những năm tiếp theo.</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5.3. Thực hiện nội dung giáo dục địa phương theo quy định.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ml:space="preserve">- Từ năm học 2023-2024 và những năm tiếp theo, nhà trường tiếp tục duy trì và phát huy hiệu quả nội dung chương trình giáo dục địa phương; chỉ đạo tổ Khoa học xã hội phân công </w:t>
      </w:r>
      <w:r w:rsidRPr="00B84173">
        <w:rPr>
          <w:rFonts w:eastAsia="Times New Roman"/>
          <w:spacing w:val="0"/>
          <w:sz w:val="27"/>
          <w:szCs w:val="27"/>
        </w:rPr>
        <w:lastRenderedPageBreak/>
        <w:t>cụ thể cho các giáo viên bộ môn Ngữ văn, Địa lý, Lịch thực hiện tốt chỉ đạo của Sở GD&amp;ĐT về giảng dạy nội dung giáo dục địa phương của thành phố Hải Phòng;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Tiếp tục xây dựng kế hoạch tổ chức các hoạt động trải nghiệm, cho học sinh tham quan các di tích Lịch sử - Văn hóa trên địa bàn thành phố thường xuyên.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5.4: Thực hiện hoạt động trải nghiệm và hướng nghiệp.</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2023-2024 và những năm học tiếp theo nhà trường tiếp tục phát huy những điểm mạnh đã có, tâp̣ trung dạy hướng nghiệp cho học sinh khối 9 và tư vấn nghề cho học sinh và phụ huynh khối 9 theo quy định của Bộ GD&amp;ĐT phù hợp với điều kiện địa phương, làm tốt công tác phân luồng cho học sinh sau khi tốt nghiệp trung học cơ sở;</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Chỉ đạo chuyên môn cập nhật các tài liệu mới để tổ chức dạy các chuyên đề hướng nghiệp cho học sinh; giao cho giáo viên chủ nhiệm khối 9 làm tốt công tác tư vấn hướng nghiệp cho học sinh và phụ huynh. Ngoài ra, nhà trường sẽ có kế hoạch tiếp tục phối hợp với trường Trung tâm giáo dục thường xuyên để tư vấn hướng nghiệp phân luồng và định hướng tốt hướng đi sau tốt nghiệp trung học cơ sở cho phụ huynh và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Ban giám hiệu chỉ đạo cho Đoàn, Đội ngay từ đầu năm, xây dựng kế hoạch tổ chức các hoạt động trải nghiệm với các hình thức phong phú, phù hợp điều kiện của nhà trường và đạt kết quả thiết thực hơn.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5.5: Hình thành, phát triển các kỹ năng sống cho học sinh.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Trong năm hoc̣ 2023-2024 và những năm học tiếp theo, nhà trường tiếp tục phát huy những điểm maṇh, đồng thời tăng cường quán triệt tới tất cả các cán bộ, giáo viên, nhân viên cũng như học sinh hiểu rõ tầm quan trọng của giáo dục về kỹ năng sống và ứng xử có văn hoá trong nhà trường ngay từ đầu năm;</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ml:space="preserve">- Tập trung tổ chức thực hiện tốt hơn việc giáo dục tư vấn về sức khỏe thể chất, tinh thần, giáo dục về giới tính, tình yêu, hôn nhân và gia đình thông qua hoạt động ngoại khóa và </w:t>
      </w:r>
      <w:r w:rsidRPr="00B84173">
        <w:rPr>
          <w:rFonts w:eastAsia="Times New Roman"/>
          <w:spacing w:val="0"/>
          <w:sz w:val="27"/>
          <w:szCs w:val="27"/>
        </w:rPr>
        <w:lastRenderedPageBreak/>
        <w:t>tích hợp trong nội dung các môn Sinh học, GDCD; thường xuyên kiểm tra đánh giá việc thực hiện của giáo viên;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Tổ chức nhiều hội thi bổ ích như thi văn nghệ, thi làm báo tường, kể chuyện về Bác, kể chuyện lịch sử theo sách, thi đấu TDTT. Bên cạnh đó tiếp tục đẩy mạnh hơn nữa hoạt động tổ tư vấn tâm lý học đường, ...</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i/>
          <w:iCs/>
          <w:spacing w:val="0"/>
          <w:sz w:val="27"/>
          <w:szCs w:val="27"/>
        </w:rPr>
        <w:t>Tiêu chí 5.6: Hoạt động giáo dục và kết quả giáo dục.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Mục tiêu cần đạt: Phấn đấu đạt Mức 2.</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Giải pháp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Ngay từ năm 2023-2024 và những năm tiếp theo nhà trường tâp̣ trung chỉ đạo chuyên môn và các tổ chuyên môn tiếp tục thực hiện tốt việc đổi mới phương pháp giảng dạy; Quan tâm nhiều đến các đối tượng học sinh yếu, kém, học sinh có hoàn cảnh khó khăn và xây dựng, thực hiện kế hoạch phụ đạo học sinh yếu, kém hiệu quả;</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xml:space="preserve">- Tiếp tục chỉ đạo tổ chuyên môn, giáo viên xây dựng nội dung giảng dạy các môn, (đặc biệt các môn Ngữ văn, Toán, Tiếng Anh) đảm bảo các yêu cầu ở mức độ cũng cố, ôn tập hệ thống kiến thức cơ bản, khắc sâu thêm kiến thức trong chương trình học, và một phần nâng cao kiến thức nhằm nâng cao chất </w:t>
      </w:r>
      <w:bookmarkStart w:id="0" w:name="_GoBack"/>
      <w:bookmarkEnd w:id="0"/>
      <w:r w:rsidRPr="00B84173">
        <w:rPr>
          <w:rFonts w:eastAsia="Times New Roman"/>
          <w:spacing w:val="0"/>
          <w:sz w:val="27"/>
          <w:szCs w:val="27"/>
        </w:rPr>
        <w:t>lượng học tập ở các môn, đáp ứng yêu cầu nâng cao chất lượng thi vào lớp 10 THPT, đồng thời qua đó phát hiện bồi dưỡng học sinh giỏi bộ môn đáp ứng tốt cho phong trào mũi nhọn của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 Chỉ đạo giáo viên bộ môn, giáo viên chủ nhiệm tăng cường phối hợp với cha mẹ học sinh trong viêc̣ theo dõi, nhắc nhở và tạo điều kiêṇ cho các em có thời gian học tập ở nhà, nhất là các em học sinh yếu, các em có hoàn cảnh khó khăn; động viên các em đến lớp chuyên cần, hạn chế các em học sinh yếu, kém bỏ học.</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B. Giải pháp cụ thể triển khai thực hiện cải tiến nâng cao chất lượng các tiêu chí, tiêu chuẩn (còn hạn chế - chưa đạt).</w:t>
      </w:r>
    </w:p>
    <w:tbl>
      <w:tblPr>
        <w:tblW w:w="9627" w:type="dxa"/>
        <w:shd w:val="clear" w:color="auto" w:fill="FFFFFF"/>
        <w:tblCellMar>
          <w:left w:w="0" w:type="dxa"/>
          <w:right w:w="0" w:type="dxa"/>
        </w:tblCellMar>
        <w:tblLook w:val="04A0" w:firstRow="1" w:lastRow="0" w:firstColumn="1" w:lastColumn="0" w:noHBand="0" w:noVBand="1"/>
      </w:tblPr>
      <w:tblGrid>
        <w:gridCol w:w="1680"/>
        <w:gridCol w:w="2399"/>
        <w:gridCol w:w="1648"/>
        <w:gridCol w:w="1801"/>
        <w:gridCol w:w="2099"/>
      </w:tblGrid>
      <w:tr w:rsidR="00B84173" w:rsidRPr="00B84173" w:rsidTr="00B84173">
        <w:trPr>
          <w:trHeight w:val="982"/>
        </w:trPr>
        <w:tc>
          <w:tcPr>
            <w:tcW w:w="16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Tiêu chí</w:t>
            </w:r>
          </w:p>
        </w:tc>
        <w:tc>
          <w:tcPr>
            <w:tcW w:w="23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Người thực hiện</w:t>
            </w:r>
          </w:p>
        </w:tc>
        <w:tc>
          <w:tcPr>
            <w:tcW w:w="16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Dự kiến kinh phí (</w:t>
            </w:r>
            <w:r w:rsidRPr="00B84173">
              <w:rPr>
                <w:rFonts w:eastAsia="Times New Roman"/>
                <w:b/>
                <w:bCs/>
                <w:i/>
                <w:iCs/>
                <w:color w:val="161616"/>
                <w:spacing w:val="0"/>
                <w:sz w:val="26"/>
                <w:szCs w:val="26"/>
              </w:rPr>
              <w:t>nếu có</w:t>
            </w:r>
            <w:r w:rsidRPr="00B84173">
              <w:rPr>
                <w:rFonts w:eastAsia="Times New Roman"/>
                <w:b/>
                <w:bCs/>
                <w:spacing w:val="0"/>
                <w:sz w:val="27"/>
                <w:szCs w:val="27"/>
              </w:rPr>
              <w:t>)</w:t>
            </w:r>
          </w:p>
        </w:tc>
        <w:tc>
          <w:tcPr>
            <w:tcW w:w="18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Thời gian thực hiện</w:t>
            </w:r>
          </w:p>
        </w:tc>
        <w:tc>
          <w:tcPr>
            <w:tcW w:w="20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sz w:val="27"/>
                <w:szCs w:val="27"/>
              </w:rPr>
              <w:t>Giải pháp</w:t>
            </w:r>
          </w:p>
        </w:tc>
      </w:tr>
      <w:tr w:rsidR="00B84173" w:rsidRPr="00B84173" w:rsidTr="00B84173">
        <w:trPr>
          <w:trHeight w:val="322"/>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2.2</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 xml:space="preserve">Các đ/c Vũ Tiến Văn, Phạm Hồng Ngọc, Vũ Văn </w:t>
            </w:r>
            <w:r w:rsidRPr="00B84173">
              <w:rPr>
                <w:rFonts w:eastAsia="Times New Roman"/>
                <w:spacing w:val="0"/>
                <w:sz w:val="27"/>
                <w:szCs w:val="27"/>
              </w:rPr>
              <w:lastRenderedPageBreak/>
              <w:t>Thông</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color w:val="161616"/>
                <w:spacing w:val="0"/>
                <w:sz w:val="23"/>
                <w:szCs w:val="23"/>
              </w:rPr>
              <w:lastRenderedPageBreak/>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Tham gia các khóa học đạt chuẩn đào tạo</w:t>
            </w:r>
          </w:p>
        </w:tc>
      </w:tr>
      <w:tr w:rsidR="00B84173" w:rsidRPr="00B84173" w:rsidTr="00B84173">
        <w:trPr>
          <w:trHeight w:val="322"/>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lastRenderedPageBreak/>
              <w:t>Tiêu chí 3.1</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Ban giám hiệu</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Đề nghị các cấp, ngành có giải pháp khắc phục khó khăn về diện tích dất và bãi tập</w:t>
            </w:r>
          </w:p>
        </w:tc>
      </w:tr>
      <w:tr w:rsidR="00B84173" w:rsidRPr="00B84173" w:rsidTr="00B84173">
        <w:trPr>
          <w:trHeight w:val="322"/>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3.2</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Ban giám hiệu</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Đề nghị xây mới 06 phòng học bộ môn</w:t>
            </w:r>
          </w:p>
        </w:tc>
      </w:tr>
      <w:tr w:rsidR="00B84173" w:rsidRPr="00B84173" w:rsidTr="00B84173">
        <w:trPr>
          <w:trHeight w:val="322"/>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3.3</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Ban giám hiệu</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Đề nghị cải tạo nhà xe, nhà kho, tường bao; cổng; mua sắm thêm trang thiết bị khối hành chính – quản trị.</w:t>
            </w:r>
          </w:p>
        </w:tc>
      </w:tr>
      <w:tr w:rsidR="00B84173" w:rsidRPr="00B84173" w:rsidTr="00B84173">
        <w:trPr>
          <w:trHeight w:val="322"/>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3.4</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Ban giám hiệu</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Đề nghị nâng cấp, cải tạo khu vệ sinh, hệ thống thoát nước</w:t>
            </w:r>
          </w:p>
        </w:tc>
      </w:tr>
      <w:tr w:rsidR="00B84173" w:rsidRPr="00B84173" w:rsidTr="00B84173">
        <w:trPr>
          <w:trHeight w:val="322"/>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3.5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Ban giám hiệu</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Đề nghị tăng diện tích phòng thiết bị và trang bị thêm hệ thống máy tính, và trang thiết bị dạy học</w:t>
            </w:r>
          </w:p>
        </w:tc>
      </w:tr>
      <w:tr w:rsidR="00B84173" w:rsidRPr="00B84173" w:rsidTr="00B84173">
        <w:trPr>
          <w:trHeight w:val="338"/>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Tiêu chí 3.6</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Ban giám hiệu</w:t>
            </w:r>
          </w:p>
        </w:tc>
        <w:tc>
          <w:tcPr>
            <w:tcW w:w="1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tc>
        <w:tc>
          <w:tcPr>
            <w:tcW w:w="18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7"/>
                <w:szCs w:val="27"/>
              </w:rPr>
              <w:t>Năm 2023, 2024</w:t>
            </w:r>
          </w:p>
        </w:tc>
        <w:tc>
          <w:tcPr>
            <w:tcW w:w="2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rPr>
                <w:rFonts w:eastAsia="Times New Roman"/>
                <w:color w:val="161616"/>
                <w:spacing w:val="0"/>
                <w:sz w:val="23"/>
                <w:szCs w:val="23"/>
              </w:rPr>
            </w:pPr>
            <w:r w:rsidRPr="00B84173">
              <w:rPr>
                <w:rFonts w:eastAsia="Times New Roman"/>
                <w:spacing w:val="0"/>
                <w:sz w:val="27"/>
                <w:szCs w:val="27"/>
              </w:rPr>
              <w:t>Đề nghị tăng diện tích phòng thư viện và công nhận thư viện chuẩn</w:t>
            </w:r>
          </w:p>
        </w:tc>
      </w:tr>
    </w:tbl>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b/>
          <w:bCs/>
          <w:spacing w:val="0"/>
          <w:sz w:val="27"/>
          <w:szCs w:val="27"/>
        </w:rPr>
        <w:t>V. TỔ CHỨC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1. Lãnh đạo nhà trường.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lastRenderedPageBreak/>
        <w:t>Xây dựng kế hoạch, phân công và giao trách nhiệm cho các thành viên tham gia công tác, đề xuất các giải pháp để cải tiến chất lượng đảm bảo duy trì bền vững;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Ban giám hiệu tiếp tục tuyên truyền, quán triệt sâu rộng trong cán bộ, giáo viên, nhân viên, học sinh và cha mẹ học sinh, đồng thời xây dựng kế hoạch thực hiện cụ thể từng tháng, cuối học kỳ, cuối năm học có đánh giá, nhận xét, rút kinh nghiệm việc thực hiện;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Tổ chuyên môn, tổ văn phòng căn cứ vào chức năng, nhiệm vụ, tổ chức thực hiện một cách linh hoạt, sáng tạo để đạt kết quả cao nhất;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Ðối với từng cán bộ, giáo viên, nhân viên xác định việc đổi mới, cải tiến các hoạt động giáo dục để nâng cao chất luợng và hiệu quả giáo dục là nhiệm vụ thuờng xuyên, lâu dài của mình;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Công khai việc thực hiện cải tiến chất luợng, định kỳ rà soát đảm bảo quy định.</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Trong quá trình thực hiện nếu gặp khó khăn hoặc vướng mắc cần phản ánh về Ban giám hiệu đề cùng phối hợp giải quyết.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2. Hội đồng tự đánh giá.</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Hội đồng tự đánh giá thực hiện theo các nhiệm vụ được giao;</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Tham mưu để thực hiện tốt cải tiến chất lượng các tiêu chí đảm bảo duy trì trường chuẩn theo tiêu chí;</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3. Các đoàn thể trong nhà truờng.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Phối kết hợp trong việc thực hiện tốt các nhiệm vụ, duy trì kết quả đã đạt đuợc, phát huy có hiệu quả tốt.</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b/>
          <w:bCs/>
          <w:spacing w:val="0"/>
          <w:sz w:val="27"/>
          <w:szCs w:val="27"/>
        </w:rPr>
        <w:t>4. Giáo viên, nhân viên.</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Phối kết hợp tốt trong triển khai thực hiện nhiệm vụ trọng tâm, lĩnh vực mình phụ trách tạo chuyển biến của nhà truờng;</w:t>
      </w:r>
    </w:p>
    <w:p w:rsidR="00B84173" w:rsidRPr="00B84173" w:rsidRDefault="00B84173" w:rsidP="00B84173">
      <w:pPr>
        <w:shd w:val="clear" w:color="auto" w:fill="FFFFFF"/>
        <w:spacing w:after="100" w:afterAutospacing="1" w:line="390" w:lineRule="atLeast"/>
        <w:ind w:firstLine="567"/>
        <w:rPr>
          <w:rFonts w:eastAsia="Times New Roman"/>
          <w:color w:val="161616"/>
          <w:spacing w:val="0"/>
          <w:sz w:val="23"/>
          <w:szCs w:val="23"/>
        </w:rPr>
      </w:pPr>
      <w:r w:rsidRPr="00B84173">
        <w:rPr>
          <w:rFonts w:eastAsia="Times New Roman"/>
          <w:spacing w:val="0"/>
          <w:sz w:val="27"/>
          <w:szCs w:val="27"/>
        </w:rPr>
        <w:t>Triển khai thực hiện tốt xây dựng trường học an toàn, phòng chống dịch bệnh;</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spacing w:val="0"/>
          <w:sz w:val="27"/>
          <w:szCs w:val="27"/>
        </w:rPr>
        <w:t>Thực hiện hiệu quả các nhiệm vụ cải tiến chất lượng, phát huy phẩm chất nhà giáo, khắc phục khó khăn thực hiện nhiệm vụ và đổi mới giáo dục.</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b/>
          <w:bCs/>
          <w:spacing w:val="0"/>
          <w:sz w:val="27"/>
          <w:szCs w:val="27"/>
        </w:rPr>
        <w:t>IV. ĐỀ XUẤT, KIẾN NGHỊ</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b/>
          <w:bCs/>
          <w:spacing w:val="0"/>
          <w:sz w:val="27"/>
          <w:szCs w:val="27"/>
        </w:rPr>
        <w:lastRenderedPageBreak/>
        <w:t>1. Ủy ban nhân dân huyện; các Sở, ban, ngành liên quan; Ủy ban nhân dân xã.</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spacing w:val="0"/>
          <w:sz w:val="27"/>
          <w:szCs w:val="27"/>
        </w:rPr>
        <w:t>Tiếp tục có giải pháp quan tâm, giúp đỡ để hoàn thiện, bổ sung cơ sở vật chất, thiết bị, đáp ứng yêu cầu trường chuẩn Quốc gia (cấp độ 2).</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spacing w:val="0"/>
          <w:sz w:val="27"/>
          <w:szCs w:val="27"/>
        </w:rPr>
        <w:t>Tiếp tục có giải pháp quan tâm, giúp đỡ để hoàn thiện, nâng cao chất lượng đội ngũ (giáo viên, nhân viên) theo qui định.</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b/>
          <w:bCs/>
          <w:spacing w:val="0"/>
          <w:sz w:val="27"/>
          <w:szCs w:val="27"/>
        </w:rPr>
        <w:t>2. Sở Giáo dục và Đào tạo, Phòng giáo dục và Đào tạo.</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spacing w:val="0"/>
          <w:sz w:val="27"/>
          <w:szCs w:val="27"/>
        </w:rPr>
        <w:t>Đề nghị Phòng GD&amp;ĐT, Sở GD&amp;ĐT kiểm tra, tư vấn, giúp đỡ để tiếp tục hoàn thiện hồ sơ theo qui định;</w:t>
      </w:r>
    </w:p>
    <w:p w:rsidR="00B84173" w:rsidRPr="00B84173" w:rsidRDefault="00B84173" w:rsidP="00B84173">
      <w:pPr>
        <w:shd w:val="clear" w:color="auto" w:fill="FFFFFF"/>
        <w:spacing w:after="100" w:afterAutospacing="1" w:line="259" w:lineRule="atLeast"/>
        <w:ind w:firstLine="567"/>
        <w:rPr>
          <w:rFonts w:eastAsia="Times New Roman"/>
          <w:color w:val="161616"/>
          <w:spacing w:val="0"/>
          <w:sz w:val="23"/>
          <w:szCs w:val="23"/>
        </w:rPr>
      </w:pPr>
      <w:r w:rsidRPr="00B84173">
        <w:rPr>
          <w:rFonts w:eastAsia="Times New Roman"/>
          <w:spacing w:val="0"/>
          <w:sz w:val="27"/>
          <w:szCs w:val="27"/>
        </w:rPr>
        <w:t>Tiếp tục có giải pháp quan tâm, giúp đỡ để hoàn thiện, bổ sung cơ sở vật chất, thiết bị, đáp ứng yêu cầu trường chuẩn Quốc gia (cấp độ 2)./.</w:t>
      </w:r>
    </w:p>
    <w:tbl>
      <w:tblPr>
        <w:tblW w:w="0" w:type="auto"/>
        <w:shd w:val="clear" w:color="auto" w:fill="FFFFFF"/>
        <w:tblCellMar>
          <w:left w:w="0" w:type="dxa"/>
          <w:right w:w="0" w:type="dxa"/>
        </w:tblCellMar>
        <w:tblLook w:val="04A0" w:firstRow="1" w:lastRow="0" w:firstColumn="1" w:lastColumn="0" w:noHBand="0" w:noVBand="1"/>
      </w:tblPr>
      <w:tblGrid>
        <w:gridCol w:w="4760"/>
        <w:gridCol w:w="4873"/>
      </w:tblGrid>
      <w:tr w:rsidR="00B84173" w:rsidRPr="00B84173" w:rsidTr="00B84173">
        <w:trPr>
          <w:trHeight w:val="1395"/>
        </w:trPr>
        <w:tc>
          <w:tcPr>
            <w:tcW w:w="47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b/>
                <w:bCs/>
                <w:i/>
                <w:iCs/>
                <w:spacing w:val="0"/>
                <w:sz w:val="24"/>
                <w:szCs w:val="24"/>
              </w:rPr>
              <w:t>Nơi nhận:</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6"/>
                <w:szCs w:val="26"/>
              </w:rPr>
              <w:t>- Sở GDĐT</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6"/>
                <w:szCs w:val="26"/>
              </w:rPr>
              <w:t>- UBND huyện;</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6"/>
                <w:szCs w:val="26"/>
              </w:rPr>
              <w:t>- Phòng GDĐT huyện;</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6"/>
                <w:szCs w:val="26"/>
              </w:rPr>
              <w:t>- Website trường;</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spacing w:val="0"/>
                <w:sz w:val="26"/>
                <w:szCs w:val="26"/>
              </w:rPr>
              <w:t>- Lưu VT.</w:t>
            </w:r>
          </w:p>
        </w:tc>
        <w:tc>
          <w:tcPr>
            <w:tcW w:w="487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rPr>
              <w:t>HIỆU TRƯỞNG</w:t>
            </w:r>
          </w:p>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color w:val="161616"/>
                <w:spacing w:val="0"/>
                <w:sz w:val="23"/>
                <w:szCs w:val="23"/>
              </w:rPr>
              <w:t> </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p w:rsidR="00B84173" w:rsidRPr="00B84173" w:rsidRDefault="00B84173" w:rsidP="00B84173">
            <w:pPr>
              <w:spacing w:after="100" w:afterAutospacing="1" w:line="390" w:lineRule="atLeast"/>
              <w:jc w:val="left"/>
              <w:rPr>
                <w:rFonts w:eastAsia="Times New Roman"/>
                <w:color w:val="161616"/>
                <w:spacing w:val="0"/>
                <w:sz w:val="23"/>
                <w:szCs w:val="23"/>
              </w:rPr>
            </w:pPr>
            <w:r w:rsidRPr="00B84173">
              <w:rPr>
                <w:rFonts w:eastAsia="Times New Roman"/>
                <w:color w:val="161616"/>
                <w:spacing w:val="0"/>
                <w:sz w:val="23"/>
                <w:szCs w:val="23"/>
              </w:rPr>
              <w:t> </w:t>
            </w:r>
          </w:p>
          <w:p w:rsidR="00B84173" w:rsidRPr="00B84173" w:rsidRDefault="00B84173" w:rsidP="00B84173">
            <w:pPr>
              <w:spacing w:after="100" w:afterAutospacing="1" w:line="390" w:lineRule="atLeast"/>
              <w:jc w:val="center"/>
              <w:rPr>
                <w:rFonts w:eastAsia="Times New Roman"/>
                <w:color w:val="161616"/>
                <w:spacing w:val="0"/>
                <w:sz w:val="23"/>
                <w:szCs w:val="23"/>
              </w:rPr>
            </w:pPr>
            <w:r w:rsidRPr="00B84173">
              <w:rPr>
                <w:rFonts w:eastAsia="Times New Roman"/>
                <w:b/>
                <w:bCs/>
                <w:spacing w:val="0"/>
              </w:rPr>
              <w:t>Nguyễn Cảnh Tuyên</w:t>
            </w:r>
          </w:p>
        </w:tc>
      </w:tr>
    </w:tbl>
    <w:p w:rsidR="00CD6E3C" w:rsidRDefault="00CD6E3C"/>
    <w:sectPr w:rsidR="00CD6E3C" w:rsidSect="00E02F08">
      <w:pgSz w:w="11907" w:h="16838" w:code="9"/>
      <w:pgMar w:top="1134"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78"/>
    <w:rsid w:val="004E7DDA"/>
    <w:rsid w:val="00720E33"/>
    <w:rsid w:val="00B84173"/>
    <w:rsid w:val="00BA5BA9"/>
    <w:rsid w:val="00BF7B09"/>
    <w:rsid w:val="00CD6E3C"/>
    <w:rsid w:val="00D76378"/>
    <w:rsid w:val="00E02F08"/>
    <w:rsid w:val="00FA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173"/>
    <w:pPr>
      <w:spacing w:before="100" w:beforeAutospacing="1" w:after="100" w:afterAutospacing="1"/>
      <w:jc w:val="left"/>
    </w:pPr>
    <w:rPr>
      <w:rFonts w:eastAsia="Times New Roman"/>
      <w:color w:val="auto"/>
      <w:spacing w:val="0"/>
      <w:sz w:val="24"/>
      <w:szCs w:val="24"/>
    </w:rPr>
  </w:style>
  <w:style w:type="character" w:styleId="Strong">
    <w:name w:val="Strong"/>
    <w:basedOn w:val="DefaultParagraphFont"/>
    <w:uiPriority w:val="22"/>
    <w:qFormat/>
    <w:rsid w:val="00B84173"/>
    <w:rPr>
      <w:b/>
      <w:bCs/>
    </w:rPr>
  </w:style>
  <w:style w:type="paragraph" w:customStyle="1" w:styleId="chthchbng0">
    <w:name w:val="chthchbng0"/>
    <w:basedOn w:val="Normal"/>
    <w:rsid w:val="00B84173"/>
    <w:pPr>
      <w:spacing w:before="100" w:beforeAutospacing="1" w:after="100" w:afterAutospacing="1"/>
      <w:jc w:val="left"/>
    </w:pPr>
    <w:rPr>
      <w:rFonts w:eastAsia="Times New Roman"/>
      <w:color w:val="auto"/>
      <w:spacing w:val="0"/>
      <w:sz w:val="24"/>
      <w:szCs w:val="24"/>
    </w:rPr>
  </w:style>
  <w:style w:type="character" w:customStyle="1" w:styleId="vnbnnidung">
    <w:name w:val="vnbnnidung"/>
    <w:basedOn w:val="DefaultParagraphFont"/>
    <w:rsid w:val="00B84173"/>
  </w:style>
  <w:style w:type="character" w:styleId="Emphasis">
    <w:name w:val="Emphasis"/>
    <w:basedOn w:val="DefaultParagraphFont"/>
    <w:uiPriority w:val="20"/>
    <w:qFormat/>
    <w:rsid w:val="00B841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173"/>
    <w:pPr>
      <w:spacing w:before="100" w:beforeAutospacing="1" w:after="100" w:afterAutospacing="1"/>
      <w:jc w:val="left"/>
    </w:pPr>
    <w:rPr>
      <w:rFonts w:eastAsia="Times New Roman"/>
      <w:color w:val="auto"/>
      <w:spacing w:val="0"/>
      <w:sz w:val="24"/>
      <w:szCs w:val="24"/>
    </w:rPr>
  </w:style>
  <w:style w:type="character" w:styleId="Strong">
    <w:name w:val="Strong"/>
    <w:basedOn w:val="DefaultParagraphFont"/>
    <w:uiPriority w:val="22"/>
    <w:qFormat/>
    <w:rsid w:val="00B84173"/>
    <w:rPr>
      <w:b/>
      <w:bCs/>
    </w:rPr>
  </w:style>
  <w:style w:type="paragraph" w:customStyle="1" w:styleId="chthchbng0">
    <w:name w:val="chthchbng0"/>
    <w:basedOn w:val="Normal"/>
    <w:rsid w:val="00B84173"/>
    <w:pPr>
      <w:spacing w:before="100" w:beforeAutospacing="1" w:after="100" w:afterAutospacing="1"/>
      <w:jc w:val="left"/>
    </w:pPr>
    <w:rPr>
      <w:rFonts w:eastAsia="Times New Roman"/>
      <w:color w:val="auto"/>
      <w:spacing w:val="0"/>
      <w:sz w:val="24"/>
      <w:szCs w:val="24"/>
    </w:rPr>
  </w:style>
  <w:style w:type="character" w:customStyle="1" w:styleId="vnbnnidung">
    <w:name w:val="vnbnnidung"/>
    <w:basedOn w:val="DefaultParagraphFont"/>
    <w:rsid w:val="00B84173"/>
  </w:style>
  <w:style w:type="character" w:styleId="Emphasis">
    <w:name w:val="Emphasis"/>
    <w:basedOn w:val="DefaultParagraphFont"/>
    <w:uiPriority w:val="20"/>
    <w:qFormat/>
    <w:rsid w:val="00B841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2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5356</Words>
  <Characters>30532</Characters>
  <Application>Microsoft Office Word</Application>
  <DocSecurity>0</DocSecurity>
  <Lines>254</Lines>
  <Paragraphs>71</Paragraphs>
  <ScaleCrop>false</ScaleCrop>
  <Company>Microsoft</Company>
  <LinksUpToDate>false</LinksUpToDate>
  <CharactersWithSpaces>35817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2024-10-04T02:38:00Z</dcterms:created>
  <dcterms:modified xsi:type="dcterms:W3CDTF">2024-10-04T02:38:00Z</dcterms:modified>
</cp:coreProperties>
</file>