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3C" w:rsidRDefault="00F80A27">
      <w:pPr>
        <w:rPr>
          <w:lang w:val="en-US"/>
        </w:rPr>
      </w:pPr>
      <w:r>
        <w:rPr>
          <w:lang w:val="en-US"/>
        </w:rPr>
        <w:t>NỘI DUNG TẬP HUẤN VIỆC ĐÁNH GIÁ MỨC ĐỘ CHUYỂN ĐỔI SỐ CỦA CƠ SỞ GIÁO DỤC PHỔ THÔNG VÀ GIÁO DỤC THƯỜNG XUYÊN</w:t>
      </w:r>
    </w:p>
    <w:p w:rsidR="00F80A27" w:rsidRDefault="00F80A27" w:rsidP="00F80A27">
      <w:pPr>
        <w:jc w:val="center"/>
        <w:rPr>
          <w:i/>
          <w:lang w:val="en-US"/>
        </w:rPr>
      </w:pPr>
      <w:r w:rsidRPr="00F80A27">
        <w:rPr>
          <w:i/>
          <w:lang w:val="en-US"/>
        </w:rPr>
        <w:t>(Theo Quyết định 4725/QĐ-BGDĐT ngày 30/12/2022)</w:t>
      </w:r>
    </w:p>
    <w:p w:rsidR="00F80A27" w:rsidRPr="001512BA" w:rsidRDefault="00F80A27" w:rsidP="00F80A27">
      <w:pPr>
        <w:rPr>
          <w:b/>
          <w:lang w:val="en-US"/>
        </w:rPr>
      </w:pPr>
      <w:r w:rsidRPr="001512BA">
        <w:rPr>
          <w:b/>
          <w:lang w:val="en-US"/>
        </w:rPr>
        <w:t>I. Mục đích</w:t>
      </w:r>
    </w:p>
    <w:p w:rsidR="00F80A27" w:rsidRDefault="00F80A27" w:rsidP="000E14C0">
      <w:pPr>
        <w:spacing w:after="0"/>
      </w:pPr>
      <w:r>
        <w:rPr>
          <w:lang w:val="vi-VN"/>
        </w:rPr>
        <w:t>- Thúc đẩy chuyển đổi số ở các cơ sở giáo dục phổ thông và các trung tâm giáo dục thường xuyên (gọi chung là cơ sở giáo dục).</w:t>
      </w:r>
    </w:p>
    <w:p w:rsidR="00F80A27" w:rsidRDefault="00F80A27" w:rsidP="000E14C0">
      <w:pPr>
        <w:spacing w:after="0"/>
      </w:pPr>
      <w:r>
        <w:rPr>
          <w:lang w:val="vi-VN"/>
        </w:rPr>
        <w:t>- Theo dõi đánh giá khách quan, thực chất, công bằng kết quả chuyển đổi số trong các cơ sở giáo dục.</w:t>
      </w:r>
    </w:p>
    <w:p w:rsidR="00F80A27" w:rsidRDefault="00F80A27" w:rsidP="000E14C0">
      <w:pPr>
        <w:spacing w:after="0"/>
      </w:pPr>
      <w:r>
        <w:rPr>
          <w:lang w:val="vi-VN"/>
        </w:rPr>
        <w:t>- Phát hiện các điển hình, mô h</w:t>
      </w:r>
      <w:r>
        <w:t>ì</w:t>
      </w:r>
      <w:r>
        <w:rPr>
          <w:lang w:val="vi-VN"/>
        </w:rPr>
        <w:t>nh chuyển đổi số làm tốt để nhân rộng, tạo phong trào thực hiện chuyển đổi số trong toàn ngành Giáo dục.</w:t>
      </w:r>
    </w:p>
    <w:p w:rsidR="00F80A27" w:rsidRPr="001512BA" w:rsidRDefault="00F80A27" w:rsidP="000E14C0">
      <w:pPr>
        <w:spacing w:after="0"/>
        <w:rPr>
          <w:b/>
          <w:lang w:val="en-US"/>
        </w:rPr>
      </w:pPr>
      <w:r w:rsidRPr="001512BA">
        <w:rPr>
          <w:b/>
          <w:lang w:val="en-US"/>
        </w:rPr>
        <w:t>II. Đối tượng</w:t>
      </w:r>
    </w:p>
    <w:p w:rsidR="00F80A27" w:rsidRDefault="00F80A27" w:rsidP="000E14C0">
      <w:pPr>
        <w:spacing w:after="0"/>
        <w:rPr>
          <w:lang w:val="vi-VN"/>
        </w:rPr>
      </w:pPr>
      <w:r>
        <w:rPr>
          <w:lang w:val="vi-VN"/>
        </w:rPr>
        <w:t xml:space="preserve">- </w:t>
      </w:r>
      <w:r>
        <w:rPr>
          <w:lang w:val="en-US"/>
        </w:rPr>
        <w:t>C</w:t>
      </w:r>
      <w:r>
        <w:rPr>
          <w:lang w:val="vi-VN"/>
        </w:rPr>
        <w:t xml:space="preserve">ác sở giáo dục và đào tạo, </w:t>
      </w:r>
    </w:p>
    <w:p w:rsidR="00F80A27" w:rsidRDefault="00F80A27" w:rsidP="000E14C0">
      <w:pPr>
        <w:spacing w:after="0"/>
        <w:rPr>
          <w:lang w:val="vi-VN"/>
        </w:rPr>
      </w:pPr>
      <w:r>
        <w:rPr>
          <w:lang w:val="en-US"/>
        </w:rPr>
        <w:t>- C</w:t>
      </w:r>
      <w:r>
        <w:rPr>
          <w:lang w:val="vi-VN"/>
        </w:rPr>
        <w:t xml:space="preserve">ác phòng giáo dục và đào tạo, </w:t>
      </w:r>
    </w:p>
    <w:p w:rsidR="00F80A27" w:rsidRDefault="00F80A27" w:rsidP="000E14C0">
      <w:pPr>
        <w:spacing w:after="0"/>
        <w:rPr>
          <w:lang w:val="vi-VN"/>
        </w:rPr>
      </w:pPr>
      <w:r>
        <w:rPr>
          <w:lang w:val="en-US"/>
        </w:rPr>
        <w:t xml:space="preserve">- Các </w:t>
      </w:r>
      <w:r>
        <w:rPr>
          <w:lang w:val="vi-VN"/>
        </w:rPr>
        <w:t xml:space="preserve">cơ sở giáo dục phổ thông, </w:t>
      </w:r>
    </w:p>
    <w:p w:rsidR="00F80A27" w:rsidRDefault="00F80A27" w:rsidP="000E14C0">
      <w:pPr>
        <w:spacing w:after="0"/>
        <w:rPr>
          <w:lang w:val="vi-VN"/>
        </w:rPr>
      </w:pPr>
      <w:r>
        <w:rPr>
          <w:lang w:val="en-US"/>
        </w:rPr>
        <w:t xml:space="preserve">- Các </w:t>
      </w:r>
      <w:r>
        <w:rPr>
          <w:lang w:val="vi-VN"/>
        </w:rPr>
        <w:t>trung tâm giáo dục thường xuyên.</w:t>
      </w:r>
    </w:p>
    <w:p w:rsidR="00F80A27" w:rsidRPr="001512BA" w:rsidRDefault="00F80A27" w:rsidP="000E14C0">
      <w:pPr>
        <w:spacing w:after="0"/>
        <w:rPr>
          <w:b/>
          <w:lang w:val="en-US"/>
        </w:rPr>
      </w:pPr>
      <w:r w:rsidRPr="001512BA">
        <w:rPr>
          <w:b/>
          <w:lang w:val="en-US"/>
        </w:rPr>
        <w:t>III. Cấu trúc Bộ chỉ số</w:t>
      </w:r>
    </w:p>
    <w:p w:rsidR="00F80A27" w:rsidRDefault="00F80A27" w:rsidP="000E14C0">
      <w:pPr>
        <w:spacing w:after="0"/>
      </w:pPr>
      <w:r>
        <w:rPr>
          <w:lang w:val="vi-VN"/>
        </w:rPr>
        <w:t>- Nhóm tiêu chí “Chuyển đổi số trong dạy, học”.</w:t>
      </w:r>
    </w:p>
    <w:p w:rsidR="00F80A27" w:rsidRDefault="00F80A27" w:rsidP="000E14C0">
      <w:pPr>
        <w:spacing w:after="0"/>
      </w:pPr>
      <w:r>
        <w:rPr>
          <w:lang w:val="vi-VN"/>
        </w:rPr>
        <w:t>- Nhóm tiêu chí “Chuyển đ</w:t>
      </w:r>
      <w:r>
        <w:t>ổ</w:t>
      </w:r>
      <w:r>
        <w:rPr>
          <w:lang w:val="vi-VN"/>
        </w:rPr>
        <w:t>i số trong quản trị cơ sở giáo dục”.</w:t>
      </w:r>
    </w:p>
    <w:p w:rsidR="00F80A27" w:rsidRPr="001512BA" w:rsidRDefault="00F80A27" w:rsidP="000E14C0">
      <w:pPr>
        <w:spacing w:after="0"/>
        <w:rPr>
          <w:b/>
          <w:lang w:val="en-US"/>
        </w:rPr>
      </w:pPr>
      <w:r w:rsidRPr="001512BA">
        <w:rPr>
          <w:b/>
          <w:lang w:val="en-US"/>
        </w:rPr>
        <w:t>IV. Mức độ chuyển đổi số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827"/>
        <w:gridCol w:w="4250"/>
      </w:tblGrid>
      <w:tr w:rsidR="00F80A27" w:rsidTr="00EB644F">
        <w:tc>
          <w:tcPr>
            <w:tcW w:w="1271" w:type="dxa"/>
          </w:tcPr>
          <w:p w:rsidR="00F80A27" w:rsidRDefault="00F80A27" w:rsidP="00F80A27">
            <w:pPr>
              <w:spacing w:before="120" w:after="280" w:afterAutospacing="1"/>
              <w:rPr>
                <w:lang w:val="en-US"/>
              </w:rPr>
            </w:pPr>
          </w:p>
        </w:tc>
        <w:tc>
          <w:tcPr>
            <w:tcW w:w="3827" w:type="dxa"/>
          </w:tcPr>
          <w:p w:rsidR="00F80A27" w:rsidRDefault="00EB644F" w:rsidP="0054584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B644F">
              <w:rPr>
                <w:b/>
                <w:sz w:val="26"/>
                <w:szCs w:val="26"/>
                <w:lang w:val="en-US"/>
              </w:rPr>
              <w:t xml:space="preserve">CĐS </w:t>
            </w:r>
            <w:r w:rsidR="00F80A27" w:rsidRPr="00EB644F">
              <w:rPr>
                <w:b/>
                <w:sz w:val="26"/>
                <w:szCs w:val="26"/>
                <w:lang w:val="vi-VN"/>
              </w:rPr>
              <w:t>trong dạy, học</w:t>
            </w:r>
          </w:p>
          <w:p w:rsidR="00545843" w:rsidRPr="00545843" w:rsidRDefault="00545843" w:rsidP="0054584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(Tối đa 100 điểm)</w:t>
            </w:r>
          </w:p>
        </w:tc>
        <w:tc>
          <w:tcPr>
            <w:tcW w:w="4250" w:type="dxa"/>
          </w:tcPr>
          <w:p w:rsidR="00F80A27" w:rsidRDefault="00EB644F" w:rsidP="0054584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EB644F">
              <w:rPr>
                <w:b/>
                <w:sz w:val="26"/>
                <w:szCs w:val="26"/>
                <w:lang w:val="en-US"/>
              </w:rPr>
              <w:t>CĐS</w:t>
            </w:r>
            <w:r w:rsidR="00F80A27" w:rsidRPr="00EB644F">
              <w:rPr>
                <w:b/>
                <w:sz w:val="26"/>
                <w:szCs w:val="26"/>
                <w:lang w:val="vi-VN"/>
              </w:rPr>
              <w:t xml:space="preserve"> trong quản trị cơ sở giáo dục</w:t>
            </w:r>
          </w:p>
          <w:p w:rsidR="00545843" w:rsidRPr="00EB644F" w:rsidRDefault="00545843" w:rsidP="00545843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(Tối đa 100 điểm)</w:t>
            </w:r>
          </w:p>
        </w:tc>
      </w:tr>
      <w:tr w:rsidR="00EB644F" w:rsidTr="00EB644F">
        <w:tc>
          <w:tcPr>
            <w:tcW w:w="1271" w:type="dxa"/>
          </w:tcPr>
          <w:p w:rsidR="00EB644F" w:rsidRDefault="00EB644F" w:rsidP="00EB644F">
            <w:pPr>
              <w:spacing w:before="120" w:after="280" w:afterAutospacing="1"/>
              <w:rPr>
                <w:lang w:val="en-US"/>
              </w:rPr>
            </w:pPr>
            <w:r>
              <w:rPr>
                <w:lang w:val="en-US"/>
              </w:rPr>
              <w:t>Mức 1</w:t>
            </w:r>
          </w:p>
        </w:tc>
        <w:tc>
          <w:tcPr>
            <w:tcW w:w="3827" w:type="dxa"/>
          </w:tcPr>
          <w:p w:rsidR="00EB644F" w:rsidRDefault="00EB644F" w:rsidP="00EB644F">
            <w:pPr>
              <w:spacing w:before="120" w:after="280" w:afterAutospacing="1"/>
              <w:rPr>
                <w:lang w:val="en-US"/>
              </w:rPr>
            </w:pPr>
            <w:r>
              <w:rPr>
                <w:lang w:val="en-US"/>
              </w:rPr>
              <w:t>Tối đa 50 điểm</w:t>
            </w:r>
          </w:p>
        </w:tc>
        <w:tc>
          <w:tcPr>
            <w:tcW w:w="4250" w:type="dxa"/>
          </w:tcPr>
          <w:p w:rsidR="00EB644F" w:rsidRDefault="00EB644F" w:rsidP="00EB644F">
            <w:pPr>
              <w:spacing w:before="120" w:after="280" w:afterAutospacing="1"/>
              <w:rPr>
                <w:lang w:val="en-US"/>
              </w:rPr>
            </w:pPr>
            <w:r>
              <w:rPr>
                <w:lang w:val="en-US"/>
              </w:rPr>
              <w:t>Tối đa 50 điểm</w:t>
            </w:r>
          </w:p>
        </w:tc>
      </w:tr>
      <w:tr w:rsidR="00EB644F" w:rsidTr="00EB644F">
        <w:tc>
          <w:tcPr>
            <w:tcW w:w="1271" w:type="dxa"/>
          </w:tcPr>
          <w:p w:rsidR="00EB644F" w:rsidRDefault="00EB644F" w:rsidP="00EB644F">
            <w:pPr>
              <w:spacing w:before="120" w:after="280" w:afterAutospacing="1"/>
              <w:rPr>
                <w:lang w:val="en-US"/>
              </w:rPr>
            </w:pPr>
            <w:r>
              <w:rPr>
                <w:lang w:val="en-US"/>
              </w:rPr>
              <w:t>Mức 2</w:t>
            </w:r>
          </w:p>
        </w:tc>
        <w:tc>
          <w:tcPr>
            <w:tcW w:w="3827" w:type="dxa"/>
          </w:tcPr>
          <w:p w:rsidR="00EB644F" w:rsidRDefault="00EB644F" w:rsidP="00EB644F">
            <w:pPr>
              <w:spacing w:before="120" w:after="280" w:afterAutospacing="1"/>
              <w:rPr>
                <w:lang w:val="en-US"/>
              </w:rPr>
            </w:pPr>
            <w:r>
              <w:rPr>
                <w:lang w:val="en-US"/>
              </w:rPr>
              <w:t>Tối đa 75 điểm</w:t>
            </w:r>
          </w:p>
        </w:tc>
        <w:tc>
          <w:tcPr>
            <w:tcW w:w="4250" w:type="dxa"/>
          </w:tcPr>
          <w:p w:rsidR="00EB644F" w:rsidRDefault="00EB644F" w:rsidP="00EB644F">
            <w:pPr>
              <w:spacing w:before="120" w:after="280" w:afterAutospacing="1"/>
              <w:rPr>
                <w:lang w:val="en-US"/>
              </w:rPr>
            </w:pPr>
            <w:r>
              <w:rPr>
                <w:lang w:val="en-US"/>
              </w:rPr>
              <w:t>Tối đa 75 điểm</w:t>
            </w:r>
          </w:p>
        </w:tc>
      </w:tr>
      <w:tr w:rsidR="00EB644F" w:rsidTr="00EB644F">
        <w:tc>
          <w:tcPr>
            <w:tcW w:w="1271" w:type="dxa"/>
          </w:tcPr>
          <w:p w:rsidR="00EB644F" w:rsidRDefault="00EB644F" w:rsidP="00EB644F">
            <w:pPr>
              <w:spacing w:before="120" w:after="280" w:afterAutospacing="1"/>
              <w:rPr>
                <w:lang w:val="en-US"/>
              </w:rPr>
            </w:pPr>
            <w:r>
              <w:rPr>
                <w:lang w:val="en-US"/>
              </w:rPr>
              <w:t>Mức 3</w:t>
            </w:r>
          </w:p>
        </w:tc>
        <w:tc>
          <w:tcPr>
            <w:tcW w:w="3827" w:type="dxa"/>
          </w:tcPr>
          <w:p w:rsidR="00EB644F" w:rsidRDefault="00EB644F" w:rsidP="00EB644F">
            <w:pPr>
              <w:spacing w:before="120" w:after="280" w:afterAutospacing="1"/>
              <w:rPr>
                <w:lang w:val="en-US"/>
              </w:rPr>
            </w:pPr>
            <w:r>
              <w:rPr>
                <w:lang w:val="en-US"/>
              </w:rPr>
              <w:t>Tối thiểu 76 điểm</w:t>
            </w:r>
          </w:p>
        </w:tc>
        <w:tc>
          <w:tcPr>
            <w:tcW w:w="4250" w:type="dxa"/>
          </w:tcPr>
          <w:p w:rsidR="00EB644F" w:rsidRDefault="00EB644F" w:rsidP="00EB644F">
            <w:pPr>
              <w:spacing w:before="120" w:after="280" w:afterAutospacing="1"/>
              <w:rPr>
                <w:lang w:val="en-US"/>
              </w:rPr>
            </w:pPr>
            <w:r>
              <w:rPr>
                <w:lang w:val="en-US"/>
              </w:rPr>
              <w:t>Tối thiểu 76 điểm</w:t>
            </w:r>
          </w:p>
        </w:tc>
      </w:tr>
    </w:tbl>
    <w:p w:rsidR="008139B2" w:rsidRPr="007E02A8" w:rsidRDefault="00EB644F" w:rsidP="00545843">
      <w:pPr>
        <w:spacing w:after="0"/>
        <w:rPr>
          <w:b/>
          <w:color w:val="000000" w:themeColor="text1"/>
          <w:lang w:val="nl-NL"/>
        </w:rPr>
      </w:pPr>
      <w:r>
        <w:rPr>
          <w:b/>
          <w:bCs/>
          <w:lang w:val="en-US"/>
        </w:rPr>
        <w:t xml:space="preserve">V. </w:t>
      </w:r>
      <w:r w:rsidR="008139B2" w:rsidRPr="007E02A8">
        <w:rPr>
          <w:b/>
          <w:color w:val="000000" w:themeColor="text1"/>
          <w:lang w:val="nl-NL"/>
        </w:rPr>
        <w:t>Quy định việc tự đánh giá; nộp hồ sơ, báo cáo</w:t>
      </w:r>
    </w:p>
    <w:p w:rsidR="008139B2" w:rsidRPr="007E02A8" w:rsidRDefault="008139B2" w:rsidP="000E14C0">
      <w:pPr>
        <w:widowControl w:val="0"/>
        <w:spacing w:after="0"/>
        <w:ind w:firstLine="720"/>
        <w:jc w:val="both"/>
        <w:rPr>
          <w:i/>
          <w:color w:val="000000" w:themeColor="text1"/>
          <w:lang w:val="nl-NL"/>
        </w:rPr>
      </w:pPr>
      <w:r w:rsidRPr="007E02A8">
        <w:rPr>
          <w:i/>
          <w:color w:val="000000" w:themeColor="text1"/>
          <w:lang w:val="nl-NL"/>
        </w:rPr>
        <w:t>a) Việc tự đánh giá, xếp loại</w:t>
      </w:r>
    </w:p>
    <w:p w:rsidR="008139B2" w:rsidRPr="007E02A8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lang w:val="nl-NL"/>
        </w:rPr>
      </w:pPr>
      <w:r w:rsidRPr="007E02A8">
        <w:rPr>
          <w:color w:val="000000" w:themeColor="text1"/>
          <w:lang w:val="nl-NL"/>
        </w:rPr>
        <w:t>- Các đơn vị thành lập Hội đồng tự kiểm tra, đánh giá mức độ chuyển đổi số tại đơn vị.</w:t>
      </w:r>
    </w:p>
    <w:p w:rsidR="008139B2" w:rsidRPr="007E02A8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lang w:val="nl-NL"/>
        </w:rPr>
      </w:pPr>
      <w:r w:rsidRPr="007E02A8">
        <w:rPr>
          <w:color w:val="000000" w:themeColor="text1"/>
          <w:lang w:val="nl-NL"/>
        </w:rPr>
        <w:t xml:space="preserve">- Thực hiện việc tự đánh giá theo quy định (có Biên bản lưu hàng năm). </w:t>
      </w:r>
    </w:p>
    <w:p w:rsidR="008139B2" w:rsidRPr="007E02A8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spacing w:val="-6"/>
          <w:lang w:val="nl-NL"/>
        </w:rPr>
      </w:pPr>
      <w:r w:rsidRPr="007E02A8">
        <w:rPr>
          <w:color w:val="000000" w:themeColor="text1"/>
          <w:spacing w:val="-6"/>
          <w:lang w:val="nl-NL"/>
        </w:rPr>
        <w:t>- Lập hồ sơ, sắp xếp các minh chứng theo từng nhóm tiêu chí; lưu trữ, bảo quản tại đơn vị, phục vụ công tác kiểm tra, thẩm định của cấp trên khi được yêu cầu.</w:t>
      </w:r>
    </w:p>
    <w:p w:rsidR="008139B2" w:rsidRPr="007E02A8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i/>
          <w:color w:val="000000" w:themeColor="text1"/>
          <w:lang w:val="nl-NL"/>
        </w:rPr>
      </w:pPr>
      <w:r w:rsidRPr="007E02A8">
        <w:rPr>
          <w:i/>
          <w:color w:val="000000" w:themeColor="text1"/>
          <w:lang w:val="nl-NL"/>
        </w:rPr>
        <w:t>b) Việc nộp hồ sơ, báo cáo</w:t>
      </w:r>
    </w:p>
    <w:p w:rsidR="008139B2" w:rsidRPr="007E02A8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lang w:val="nl-NL"/>
        </w:rPr>
      </w:pPr>
      <w:r w:rsidRPr="007E02A8">
        <w:rPr>
          <w:color w:val="000000" w:themeColor="text1"/>
          <w:lang w:val="nl-NL"/>
        </w:rPr>
        <w:t>- Hồ sơ được đóng thành quyển, sắp xếp theo thứ tự như sau:</w:t>
      </w:r>
    </w:p>
    <w:p w:rsidR="008139B2" w:rsidRPr="007E02A8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lang w:val="nl-NL"/>
        </w:rPr>
      </w:pPr>
      <w:r w:rsidRPr="007E02A8">
        <w:rPr>
          <w:color w:val="000000" w:themeColor="text1"/>
          <w:lang w:val="nl-NL"/>
        </w:rPr>
        <w:t>+ Bìa (mẫu M1);</w:t>
      </w:r>
    </w:p>
    <w:p w:rsidR="008139B2" w:rsidRPr="007E02A8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lang w:val="nl-NL"/>
        </w:rPr>
      </w:pPr>
      <w:r w:rsidRPr="007E02A8">
        <w:rPr>
          <w:color w:val="000000" w:themeColor="text1"/>
          <w:lang w:val="nl-NL"/>
        </w:rPr>
        <w:t>+ Tờ trình (mẫu M2);</w:t>
      </w:r>
    </w:p>
    <w:p w:rsidR="008139B2" w:rsidRPr="007E02A8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lang w:val="vi-VN"/>
        </w:rPr>
      </w:pPr>
      <w:r w:rsidRPr="007E02A8">
        <w:rPr>
          <w:color w:val="000000" w:themeColor="text1"/>
          <w:lang w:val="vi-VN"/>
        </w:rPr>
        <w:t>+ Biên bản tự kiểm tra, đánh giá</w:t>
      </w:r>
      <w:r w:rsidRPr="007E02A8">
        <w:rPr>
          <w:color w:val="000000" w:themeColor="text1"/>
          <w:lang w:val="nl-NL"/>
        </w:rPr>
        <w:t xml:space="preserve"> mức độ chuyển đổi số</w:t>
      </w:r>
      <w:r w:rsidRPr="007E02A8">
        <w:rPr>
          <w:color w:val="000000" w:themeColor="text1"/>
          <w:lang w:val="vi-VN"/>
        </w:rPr>
        <w:t xml:space="preserve"> (mẫu M</w:t>
      </w:r>
      <w:r w:rsidRPr="007E02A8">
        <w:rPr>
          <w:color w:val="000000" w:themeColor="text1"/>
          <w:lang w:val="nl-NL"/>
        </w:rPr>
        <w:t>3</w:t>
      </w:r>
      <w:r w:rsidRPr="007E02A8">
        <w:rPr>
          <w:color w:val="000000" w:themeColor="text1"/>
          <w:lang w:val="vi-VN"/>
        </w:rPr>
        <w:t>);</w:t>
      </w:r>
    </w:p>
    <w:p w:rsidR="008139B2" w:rsidRPr="007E02A8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spacing w:val="-6"/>
          <w:lang w:val="vi-VN"/>
        </w:rPr>
      </w:pPr>
      <w:r w:rsidRPr="007E02A8">
        <w:rPr>
          <w:color w:val="000000" w:themeColor="text1"/>
          <w:spacing w:val="-6"/>
          <w:lang w:val="nl-NL"/>
        </w:rPr>
        <w:t>+ Báo cáo công tác triển khai việc đánh giá</w:t>
      </w:r>
      <w:r w:rsidRPr="007E02A8">
        <w:rPr>
          <w:color w:val="000000" w:themeColor="text1"/>
          <w:spacing w:val="-6"/>
          <w:lang w:val="vi-VN"/>
        </w:rPr>
        <w:t xml:space="preserve"> mức độ chuyển đổi số </w:t>
      </w:r>
      <w:r w:rsidRPr="007E02A8">
        <w:rPr>
          <w:color w:val="000000" w:themeColor="text1"/>
          <w:spacing w:val="-6"/>
          <w:lang w:val="nl-NL"/>
        </w:rPr>
        <w:t>(mẫu M4)</w:t>
      </w:r>
      <w:r w:rsidRPr="007E02A8">
        <w:rPr>
          <w:color w:val="000000" w:themeColor="text1"/>
          <w:spacing w:val="-6"/>
          <w:lang w:val="vi-VN"/>
        </w:rPr>
        <w:t>;</w:t>
      </w:r>
    </w:p>
    <w:p w:rsidR="008139B2" w:rsidRPr="007E02A8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lang w:val="vi-VN"/>
        </w:rPr>
      </w:pPr>
      <w:r w:rsidRPr="007E02A8">
        <w:rPr>
          <w:color w:val="000000" w:themeColor="text1"/>
          <w:lang w:val="vi-VN"/>
        </w:rPr>
        <w:t>+ Quyết định phê duyệt kết quả tự đánh giá.</w:t>
      </w:r>
    </w:p>
    <w:p w:rsidR="00BB01D2" w:rsidRDefault="008139B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lang w:val="vi-VN"/>
        </w:rPr>
      </w:pPr>
      <w:r w:rsidRPr="007E02A8">
        <w:rPr>
          <w:color w:val="000000" w:themeColor="text1"/>
          <w:lang w:val="vi-VN"/>
        </w:rPr>
        <w:t xml:space="preserve">- Địa chỉ nhận hồ sơ: </w:t>
      </w:r>
    </w:p>
    <w:p w:rsidR="008139B2" w:rsidRPr="007E02A8" w:rsidRDefault="00BB01D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lang w:val="vi-VN"/>
        </w:rPr>
      </w:pPr>
      <w:r>
        <w:rPr>
          <w:color w:val="000000" w:themeColor="text1"/>
          <w:lang w:val="en-US"/>
        </w:rPr>
        <w:lastRenderedPageBreak/>
        <w:t xml:space="preserve">+ </w:t>
      </w:r>
      <w:r w:rsidR="008139B2" w:rsidRPr="007E02A8">
        <w:rPr>
          <w:color w:val="000000" w:themeColor="text1"/>
          <w:lang w:val="vi-VN"/>
        </w:rPr>
        <w:t xml:space="preserve">Các trường tiểu học, THCS, PTCS nộp hồ sơ về Phòng GDĐT theo cấp học, chậm nhất trước ngày </w:t>
      </w:r>
      <w:r w:rsidR="008139B2" w:rsidRPr="007E02A8">
        <w:rPr>
          <w:b/>
          <w:bCs/>
          <w:color w:val="000000" w:themeColor="text1"/>
          <w:lang w:val="vi-VN"/>
        </w:rPr>
        <w:t xml:space="preserve">31/03/2023. </w:t>
      </w:r>
    </w:p>
    <w:p w:rsidR="00BB01D2" w:rsidRPr="007E02A8" w:rsidRDefault="00BB01D2" w:rsidP="000E14C0">
      <w:pPr>
        <w:widowControl w:val="0"/>
        <w:tabs>
          <w:tab w:val="center" w:pos="4657"/>
          <w:tab w:val="left" w:pos="7913"/>
        </w:tabs>
        <w:spacing w:after="0"/>
        <w:ind w:firstLine="720"/>
        <w:jc w:val="both"/>
        <w:rPr>
          <w:color w:val="000000" w:themeColor="text1"/>
          <w:lang w:val="vi-VN"/>
        </w:rPr>
      </w:pPr>
      <w:r>
        <w:rPr>
          <w:lang w:val="en-US"/>
        </w:rPr>
        <w:tab/>
        <w:t xml:space="preserve">+ Các trường THPT, PT NCH, TT GDTX HP, GDNN-GDTX </w:t>
      </w:r>
      <w:r w:rsidRPr="007E02A8">
        <w:rPr>
          <w:color w:val="000000" w:themeColor="text1"/>
          <w:lang w:val="vi-VN"/>
        </w:rPr>
        <w:t xml:space="preserve">nộp hồ sơ về Phòng </w:t>
      </w:r>
      <w:r>
        <w:rPr>
          <w:color w:val="000000" w:themeColor="text1"/>
          <w:lang w:val="en-US"/>
        </w:rPr>
        <w:t>GDTX&amp;ĐH – Sở GDĐT</w:t>
      </w:r>
      <w:r w:rsidRPr="007E02A8">
        <w:rPr>
          <w:color w:val="000000" w:themeColor="text1"/>
          <w:lang w:val="vi-VN"/>
        </w:rPr>
        <w:t xml:space="preserve">, chậm nhất trước ngày </w:t>
      </w:r>
      <w:r w:rsidRPr="007E02A8">
        <w:rPr>
          <w:b/>
          <w:bCs/>
          <w:color w:val="000000" w:themeColor="text1"/>
          <w:lang w:val="vi-VN"/>
        </w:rPr>
        <w:t xml:space="preserve">31/03/2023. </w:t>
      </w:r>
    </w:p>
    <w:p w:rsidR="001512BA" w:rsidRPr="00F80A27" w:rsidRDefault="001512BA" w:rsidP="009F38F4">
      <w:pPr>
        <w:rPr>
          <w:lang w:val="en-US"/>
        </w:rPr>
      </w:pPr>
      <w:bookmarkStart w:id="0" w:name="_GoBack"/>
      <w:bookmarkEnd w:id="0"/>
    </w:p>
    <w:sectPr w:rsidR="001512BA" w:rsidRPr="00F80A27" w:rsidSect="00196BE8">
      <w:pgSz w:w="11910" w:h="16840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55766"/>
    <w:multiLevelType w:val="hybridMultilevel"/>
    <w:tmpl w:val="F0B28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64E57"/>
    <w:multiLevelType w:val="multilevel"/>
    <w:tmpl w:val="5DB0957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0C161B"/>
    <w:multiLevelType w:val="multilevel"/>
    <w:tmpl w:val="95743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A27"/>
    <w:rsid w:val="000E14C0"/>
    <w:rsid w:val="001512BA"/>
    <w:rsid w:val="00191413"/>
    <w:rsid w:val="00196BE8"/>
    <w:rsid w:val="00545843"/>
    <w:rsid w:val="005E1CA1"/>
    <w:rsid w:val="00617C3C"/>
    <w:rsid w:val="00701630"/>
    <w:rsid w:val="008139B2"/>
    <w:rsid w:val="00886923"/>
    <w:rsid w:val="0092760C"/>
    <w:rsid w:val="009F38F4"/>
    <w:rsid w:val="00B43B43"/>
    <w:rsid w:val="00B81524"/>
    <w:rsid w:val="00BB01D2"/>
    <w:rsid w:val="00CB4F4A"/>
    <w:rsid w:val="00CF6B1C"/>
    <w:rsid w:val="00EB644F"/>
    <w:rsid w:val="00F8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6D6BE"/>
  <w15:chartTrackingRefBased/>
  <w15:docId w15:val="{E527DFC3-D2FF-4E23-AD95-D6E6BCD1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139B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A27"/>
    <w:pPr>
      <w:ind w:left="720"/>
      <w:contextualSpacing/>
    </w:pPr>
  </w:style>
  <w:style w:type="table" w:styleId="TableGrid">
    <w:name w:val="Table Grid"/>
    <w:basedOn w:val="TableNormal"/>
    <w:uiPriority w:val="39"/>
    <w:rsid w:val="00F8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70163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text-mobile">
    <w:name w:val="text-mobile"/>
    <w:basedOn w:val="DefaultParagraphFont"/>
    <w:rsid w:val="00191413"/>
  </w:style>
  <w:style w:type="character" w:customStyle="1" w:styleId="Heading1Char">
    <w:name w:val="Heading 1 Char"/>
    <w:basedOn w:val="DefaultParagraphFont"/>
    <w:link w:val="Heading1"/>
    <w:rsid w:val="008139B2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Khc">
    <w:name w:val="Khác_"/>
    <w:basedOn w:val="DefaultParagraphFont"/>
    <w:link w:val="Khc0"/>
    <w:rsid w:val="008139B2"/>
    <w:rPr>
      <w:sz w:val="26"/>
      <w:szCs w:val="26"/>
    </w:rPr>
  </w:style>
  <w:style w:type="paragraph" w:customStyle="1" w:styleId="Khc0">
    <w:name w:val="Khác"/>
    <w:basedOn w:val="Normal"/>
    <w:link w:val="Khc"/>
    <w:rsid w:val="008139B2"/>
    <w:pPr>
      <w:widowControl w:val="0"/>
      <w:spacing w:after="100" w:line="283" w:lineRule="auto"/>
      <w:ind w:firstLine="40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</dc:creator>
  <cp:keywords/>
  <dc:description/>
  <cp:lastModifiedBy>RUBY</cp:lastModifiedBy>
  <cp:revision>3</cp:revision>
  <dcterms:created xsi:type="dcterms:W3CDTF">2023-09-14T09:34:00Z</dcterms:created>
  <dcterms:modified xsi:type="dcterms:W3CDTF">2023-09-14T12:25:00Z</dcterms:modified>
</cp:coreProperties>
</file>