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B5" w:rsidRPr="00F529B5" w:rsidRDefault="00872296" w:rsidP="00F529B5">
      <w:pPr>
        <w:spacing w:after="0" w:line="240" w:lineRule="auto"/>
        <w:contextualSpacing/>
        <w:jc w:val="center"/>
        <w:rPr>
          <w:rFonts w:ascii="Times New Roman" w:eastAsia="Times New Roman" w:hAnsi="Times New Roman" w:cs="Times New Roman"/>
          <w:b/>
          <w:bCs/>
          <w:color w:val="FF0000"/>
          <w:sz w:val="28"/>
          <w:szCs w:val="28"/>
          <w:u w:val="single"/>
          <w:lang w:val="nl-NL"/>
        </w:rPr>
      </w:pPr>
      <w:r>
        <w:rPr>
          <w:rFonts w:ascii="Times New Roman" w:eastAsia="Times New Roman" w:hAnsi="Times New Roman" w:cs="Times New Roman"/>
          <w:b/>
          <w:bCs/>
          <w:color w:val="FF0000"/>
          <w:sz w:val="28"/>
          <w:szCs w:val="28"/>
          <w:u w:val="single"/>
          <w:lang w:val="nl-NL"/>
        </w:rPr>
        <w:t xml:space="preserve">  </w:t>
      </w:r>
      <w:r w:rsidR="00F529B5" w:rsidRPr="00F529B5">
        <w:rPr>
          <w:rFonts w:ascii="Times New Roman" w:eastAsia="Times New Roman" w:hAnsi="Times New Roman" w:cs="Times New Roman"/>
          <w:b/>
          <w:bCs/>
          <w:color w:val="FF0000"/>
          <w:sz w:val="28"/>
          <w:szCs w:val="28"/>
          <w:u w:val="single"/>
          <w:lang w:val="nl-NL"/>
        </w:rPr>
        <w:t>PHIẾU ĐÁNH GIÁ VIỆC THỰC HIỆN CHỦ ĐỀ</w:t>
      </w:r>
    </w:p>
    <w:p w:rsidR="00F529B5" w:rsidRPr="00F529B5" w:rsidRDefault="00F529B5" w:rsidP="00F529B5">
      <w:pPr>
        <w:spacing w:after="0" w:line="240" w:lineRule="auto"/>
        <w:contextualSpacing/>
        <w:rPr>
          <w:rFonts w:ascii="Times New Roman" w:eastAsia="Times New Roman" w:hAnsi="Times New Roman" w:cs="Times New Roman"/>
          <w:color w:val="FF0000"/>
          <w:sz w:val="28"/>
          <w:szCs w:val="28"/>
          <w:lang w:val="nl-NL"/>
        </w:rPr>
      </w:pPr>
    </w:p>
    <w:p w:rsidR="00F529B5" w:rsidRPr="00F529B5" w:rsidRDefault="00F01464" w:rsidP="00F01464">
      <w:pPr>
        <w:spacing w:after="0" w:line="276" w:lineRule="auto"/>
        <w:rPr>
          <w:rFonts w:ascii="Times New Roman" w:eastAsia="Calibri" w:hAnsi="Times New Roman" w:cs="Times New Roman"/>
          <w:color w:val="FF0000"/>
          <w:sz w:val="28"/>
        </w:rPr>
      </w:pPr>
      <w:r>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Trư</w:t>
      </w:r>
      <w:r w:rsidR="00F529B5" w:rsidRPr="00F529B5">
        <w:rPr>
          <w:rFonts w:ascii="Times New Roman" w:eastAsia="Calibri" w:hAnsi="Times New Roman" w:cs="Times New Roman"/>
          <w:color w:val="FF0000"/>
          <w:sz w:val="28"/>
          <w:szCs w:val="28"/>
          <w:lang w:val="vi-VN"/>
        </w:rPr>
        <w:softHyphen/>
        <w:t xml:space="preserve">ờng: Mầm non </w:t>
      </w:r>
      <w:r w:rsidR="00F529B5" w:rsidRPr="00F529B5">
        <w:rPr>
          <w:rFonts w:ascii="Times New Roman" w:eastAsia="Calibri" w:hAnsi="Times New Roman" w:cs="Times New Roman"/>
          <w:color w:val="FF0000"/>
          <w:sz w:val="28"/>
          <w:szCs w:val="28"/>
        </w:rPr>
        <w:t>Tân Viên</w:t>
      </w:r>
      <w:r w:rsidR="00F529B5" w:rsidRPr="00F529B5">
        <w:rPr>
          <w:rFonts w:ascii="Times New Roman" w:eastAsia="Calibri" w:hAnsi="Times New Roman" w:cs="Times New Roman"/>
          <w:color w:val="FF0000"/>
          <w:sz w:val="28"/>
          <w:szCs w:val="28"/>
          <w:lang w:val="vi-VN"/>
        </w:rPr>
        <w:t>.      Lớp:</w:t>
      </w:r>
      <w:r w:rsidR="00831E0B">
        <w:rPr>
          <w:rFonts w:ascii="Times New Roman" w:eastAsia="Calibri" w:hAnsi="Times New Roman" w:cs="Times New Roman"/>
          <w:color w:val="FF0000"/>
          <w:sz w:val="28"/>
          <w:szCs w:val="28"/>
        </w:rPr>
        <w:t xml:space="preserve"> 4TB1</w:t>
      </w:r>
      <w:r w:rsidR="0014056A">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 xml:space="preserve">  Số trẻ của lớp: </w:t>
      </w:r>
      <w:r w:rsidR="0012031F">
        <w:rPr>
          <w:rFonts w:ascii="Times New Roman" w:eastAsia="Calibri" w:hAnsi="Times New Roman" w:cs="Times New Roman"/>
          <w:color w:val="FF0000"/>
          <w:sz w:val="28"/>
          <w:szCs w:val="28"/>
        </w:rPr>
        <w:t>35</w:t>
      </w:r>
      <w:r w:rsidR="00831E0B">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rPr>
        <w:t>trẻ</w:t>
      </w:r>
    </w:p>
    <w:p w:rsidR="00F529B5" w:rsidRPr="002B219A" w:rsidRDefault="00F01464" w:rsidP="00F01464">
      <w:pPr>
        <w:spacing w:after="0" w:line="276"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 xml:space="preserve">Tên chủ đề: </w:t>
      </w:r>
      <w:r w:rsidR="005253FE">
        <w:rPr>
          <w:rFonts w:ascii="Times New Roman" w:eastAsia="Calibri" w:hAnsi="Times New Roman" w:cs="Times New Roman"/>
          <w:color w:val="FF0000"/>
          <w:sz w:val="28"/>
          <w:szCs w:val="28"/>
        </w:rPr>
        <w:t>TÔI YÊU VIỆT NAM</w:t>
      </w:r>
    </w:p>
    <w:p w:rsidR="00F529B5" w:rsidRPr="00F529B5" w:rsidRDefault="00F01464" w:rsidP="00F01464">
      <w:pPr>
        <w:spacing w:after="0" w:line="276" w:lineRule="auto"/>
        <w:rPr>
          <w:rFonts w:ascii="Times New Roman" w:eastAsia="Calibri" w:hAnsi="Times New Roman" w:cs="Times New Roman"/>
          <w:color w:val="FF0000"/>
          <w:sz w:val="28"/>
        </w:rPr>
      </w:pPr>
      <w:r>
        <w:rPr>
          <w:rFonts w:ascii="Times New Roman" w:eastAsia="Calibri" w:hAnsi="Times New Roman" w:cs="Times New Roman"/>
          <w:color w:val="FF0000"/>
          <w:sz w:val="28"/>
          <w:szCs w:val="28"/>
        </w:rPr>
        <w:t xml:space="preserve">                                              </w:t>
      </w:r>
      <w:r w:rsidR="00F529B5" w:rsidRPr="00F529B5">
        <w:rPr>
          <w:rFonts w:ascii="Times New Roman" w:eastAsia="Calibri" w:hAnsi="Times New Roman" w:cs="Times New Roman"/>
          <w:color w:val="FF0000"/>
          <w:sz w:val="28"/>
          <w:szCs w:val="28"/>
          <w:lang w:val="vi-VN"/>
        </w:rPr>
        <w:t xml:space="preserve">Thời gian thực hiện chủ đề: </w:t>
      </w:r>
      <w:r w:rsidR="005253FE">
        <w:rPr>
          <w:rFonts w:ascii="Times New Roman" w:eastAsia="Times New Roman" w:hAnsi="Times New Roman" w:cs="Times New Roman"/>
          <w:bCs/>
          <w:color w:val="FF0000"/>
          <w:sz w:val="28"/>
          <w:szCs w:val="28"/>
        </w:rPr>
        <w:t>4 tuần (từ ngày 17/3 đến 11</w:t>
      </w:r>
      <w:r w:rsidR="00E70237">
        <w:rPr>
          <w:rFonts w:ascii="Times New Roman" w:eastAsia="Times New Roman" w:hAnsi="Times New Roman" w:cs="Times New Roman"/>
          <w:bCs/>
          <w:color w:val="FF0000"/>
          <w:sz w:val="28"/>
          <w:szCs w:val="28"/>
        </w:rPr>
        <w:t>/</w:t>
      </w:r>
      <w:r w:rsidR="005253FE">
        <w:rPr>
          <w:rFonts w:ascii="Times New Roman" w:eastAsia="Times New Roman" w:hAnsi="Times New Roman" w:cs="Times New Roman"/>
          <w:bCs/>
          <w:color w:val="FF0000"/>
          <w:sz w:val="28"/>
          <w:szCs w:val="28"/>
        </w:rPr>
        <w:t>4</w:t>
      </w:r>
      <w:r w:rsidR="00E70237">
        <w:rPr>
          <w:rFonts w:ascii="Times New Roman" w:eastAsia="Times New Roman" w:hAnsi="Times New Roman" w:cs="Times New Roman"/>
          <w:bCs/>
          <w:color w:val="FF0000"/>
          <w:sz w:val="28"/>
          <w:szCs w:val="28"/>
        </w:rPr>
        <w:t>/2025</w:t>
      </w:r>
      <w:r w:rsidR="00F529B5" w:rsidRPr="00F529B5">
        <w:rPr>
          <w:rFonts w:ascii="Times New Roman" w:eastAsia="Times New Roman" w:hAnsi="Times New Roman" w:cs="Times New Roman"/>
          <w:bCs/>
          <w:color w:val="FF0000"/>
          <w:sz w:val="28"/>
          <w:szCs w:val="28"/>
        </w:rPr>
        <w:t>)</w:t>
      </w:r>
    </w:p>
    <w:p w:rsidR="00F529B5" w:rsidRPr="00F529B5" w:rsidRDefault="00F529B5" w:rsidP="00F529B5">
      <w:pPr>
        <w:spacing w:after="0" w:line="240" w:lineRule="auto"/>
        <w:jc w:val="center"/>
        <w:rPr>
          <w:rFonts w:ascii="Times New Roman" w:eastAsia="Times New Roman" w:hAnsi="Times New Roman" w:cs="Times New Roman"/>
          <w:b/>
          <w:bCs/>
          <w:sz w:val="16"/>
          <w:szCs w:val="16"/>
        </w:rPr>
      </w:pPr>
    </w:p>
    <w:tbl>
      <w:tblPr>
        <w:tblW w:w="140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036"/>
        <w:gridCol w:w="1080"/>
        <w:gridCol w:w="1275"/>
        <w:gridCol w:w="10"/>
      </w:tblGrid>
      <w:tr w:rsidR="00F529B5" w:rsidRPr="00F529B5" w:rsidTr="0014056A">
        <w:trPr>
          <w:gridAfter w:val="1"/>
          <w:wAfter w:w="10" w:type="dxa"/>
          <w:trHeight w:val="350"/>
        </w:trPr>
        <w:tc>
          <w:tcPr>
            <w:tcW w:w="630" w:type="dxa"/>
            <w:vMerge w:val="restart"/>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TT</w:t>
            </w:r>
          </w:p>
        </w:tc>
        <w:tc>
          <w:tcPr>
            <w:tcW w:w="11036" w:type="dxa"/>
            <w:vMerge w:val="restart"/>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Nội dung, đánh giá</w:t>
            </w:r>
          </w:p>
        </w:tc>
        <w:tc>
          <w:tcPr>
            <w:tcW w:w="2355" w:type="dxa"/>
            <w:gridSpan w:val="2"/>
            <w:shd w:val="clear" w:color="auto" w:fill="auto"/>
            <w:noWrap/>
            <w:vAlign w:val="bottom"/>
            <w:hideMark/>
          </w:tcPr>
          <w:p w:rsidR="00F529B5" w:rsidRPr="00F529B5" w:rsidRDefault="00F529B5" w:rsidP="00F529B5">
            <w:pPr>
              <w:spacing w:after="0" w:line="240" w:lineRule="auto"/>
              <w:jc w:val="center"/>
              <w:rPr>
                <w:rFonts w:ascii="Times New Roman" w:eastAsia="Times New Roman" w:hAnsi="Times New Roman" w:cs="Times New Roman"/>
                <w:sz w:val="28"/>
                <w:szCs w:val="28"/>
                <w:lang w:val="nl-NL"/>
              </w:rPr>
            </w:pPr>
            <w:r w:rsidRPr="00F529B5">
              <w:rPr>
                <w:rFonts w:ascii="Times New Roman" w:eastAsia="Times New Roman" w:hAnsi="Times New Roman" w:cs="Times New Roman"/>
                <w:sz w:val="28"/>
                <w:szCs w:val="28"/>
              </w:rPr>
              <w:t xml:space="preserve">Kết quả đánh giá </w:t>
            </w:r>
          </w:p>
        </w:tc>
      </w:tr>
      <w:tr w:rsidR="00F529B5" w:rsidRPr="00F529B5" w:rsidTr="0014056A">
        <w:trPr>
          <w:gridAfter w:val="1"/>
          <w:wAfter w:w="10" w:type="dxa"/>
          <w:trHeight w:val="440"/>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p>
        </w:tc>
        <w:tc>
          <w:tcPr>
            <w:tcW w:w="11036" w:type="dxa"/>
            <w:vMerge/>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Đạt </w:t>
            </w:r>
          </w:p>
        </w:tc>
        <w:tc>
          <w:tcPr>
            <w:tcW w:w="1275" w:type="dxa"/>
            <w:shd w:val="clear" w:color="auto" w:fill="auto"/>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Ch</w:t>
            </w:r>
            <w:r w:rsidRPr="00F529B5">
              <w:rPr>
                <w:rFonts w:ascii="Times New Roman" w:eastAsia="Times New Roman" w:hAnsi="Times New Roman" w:cs="Times New Roman"/>
                <w:sz w:val="28"/>
                <w:szCs w:val="28"/>
              </w:rPr>
              <w:softHyphen/>
            </w:r>
            <w:r w:rsidRPr="00F529B5">
              <w:rPr>
                <w:rFonts w:ascii="Times New Roman" w:eastAsia="Times New Roman" w:hAnsi="Times New Roman" w:cs="Times New Roman"/>
                <w:sz w:val="28"/>
                <w:szCs w:val="28"/>
                <w:lang w:val="vi-VN"/>
              </w:rPr>
              <w:t>ư</w:t>
            </w:r>
            <w:r w:rsidRPr="00F529B5">
              <w:rPr>
                <w:rFonts w:ascii="Times New Roman" w:eastAsia="Times New Roman" w:hAnsi="Times New Roman" w:cs="Times New Roman"/>
                <w:sz w:val="28"/>
                <w:szCs w:val="28"/>
              </w:rPr>
              <w:t>a đạt</w:t>
            </w:r>
          </w:p>
        </w:tc>
      </w:tr>
      <w:tr w:rsidR="00F529B5" w:rsidRPr="00F529B5" w:rsidTr="0014056A">
        <w:trPr>
          <w:gridAfter w:val="1"/>
          <w:wAfter w:w="10" w:type="dxa"/>
          <w:trHeight w:val="692"/>
        </w:trPr>
        <w:tc>
          <w:tcPr>
            <w:tcW w:w="630" w:type="dxa"/>
            <w:vMerge w:val="restart"/>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Lâp K\kế hoạch</w:t>
            </w: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Có đầy đủ các loại kế hoạch chăm sóc giáo dục trẻ. Các kế hoạch trình bày khoa học, rõ ràng, đầy đủ nội dung, yêu cầu, có tính khả thi.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6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64"/>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Đảm bảo tính thống nhất trong việc xây dựng mục tiêu, nội dung và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1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Các nội dung kiến thức và kĩ năng được sắp xếp theo mức độ từ dễ đến khó, phù hợp với khả năng, kinh nghiệm và sự phát triển của trẻ.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55"/>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Lựa chọn chủ đề phù hợp, đáp ứng nội dung giáo dục trẻ, nội dung của chủ đề phong phú, các hoạt động khám phá đa dạng, các hình thức tổ chức hoạt động hấp dẫn.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77"/>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Xây dựng và điều chỉnh kế hoạch dựa trên việc đánh giá trẻ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28"/>
        </w:trPr>
        <w:tc>
          <w:tcPr>
            <w:tcW w:w="630" w:type="dxa"/>
            <w:vMerge w:val="restart"/>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Xây dựng môi trường giáo dục</w:t>
            </w: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Do cô và trẻ tạo dựng, sắp xếp và được hoàn thiện dần trong quá trình thực hiện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3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Phản ánh phong phú nội dung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11"/>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9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An toàn, đủ về số lượng, đa dạng về chủng loại đồ dùng, đồ chơi, học liệu, nguyên học liệu cho trẻ sử dụng, hấp dẫn về hình thức thể hiện, thuận tiện cho trẻ sử dụng và có thể sử dụng theo nhiều cách.</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19"/>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5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0"/>
        </w:trPr>
        <w:tc>
          <w:tcPr>
            <w:tcW w:w="630" w:type="dxa"/>
            <w:vMerge/>
            <w:tcBorders>
              <w:bottom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Có nơi cung cấp thông tin trao đổi với phụ huynh. Nội dung trao đổi phù hợp với chủ đề và thực tế chăm sóc giáo dục trẻ tại địa phương ; Hình thức trao đổi đa dạng, hấp dẫn, dễ hiểu.</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9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lastRenderedPageBreak/>
              <w:t>Tổ chức hoạt động giáo dục</w:t>
            </w: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Các hoạt động giáo dục được tổ chức đa dạng hướng tới khám phá nội dung đạt mục tiêu của chủ đề/ hoạt động.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62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1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14056A"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w:t>
            </w:r>
            <w:r w:rsidR="00F529B5" w:rsidRPr="00F529B5">
              <w:rPr>
                <w:rFonts w:ascii="Times New Roman" w:eastAsia="Times New Roman" w:hAnsi="Times New Roman" w:cs="Times New Roman"/>
                <w:sz w:val="28"/>
                <w:szCs w:val="28"/>
              </w:rPr>
              <w:t xml:space="preserve"> đến cá nhân và tạo cơ hội cho mọi trẻ đều được tham gia các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71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Khuyến khích trẻ sáng tạo, chia sẻ ý kiến thức, đặt các câu hỏi; Gợi ý và dành thời gian cho trẻ suy nghĩ, tự lựa chọn, tự quyết định và mạnh dạn thể hiện ý định, mong muốn cá nhân; Can thiệp hợp lý khi trẻ gặp trở ngại.</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26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Giáo viên nắm vững kiến thức liên quan đến chủ đề/ hoạt động.</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1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Linh hoạt trong xử lí tình huống giáo dục</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35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6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Sử dụng CNTT với các trò chơi trên máy vi tính một cách hợp lý, hiệu quả để khám phá chủ đề. </w:t>
            </w: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40"/>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8"/>
                <w:szCs w:val="28"/>
              </w:rPr>
            </w:pPr>
            <w:r w:rsidRPr="00F529B5">
              <w:rPr>
                <w:rFonts w:ascii="Times New Roman" w:eastAsia="Times New Roman" w:hAnsi="Times New Roman" w:cs="Times New Roman"/>
                <w:b/>
                <w:bCs/>
                <w:sz w:val="28"/>
                <w:szCs w:val="28"/>
              </w:rPr>
              <w:t>Kết quả trên trẻ</w:t>
            </w: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hứng thú, tích cực tham gia các hoạt động/ trò chơi.</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53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chủ động làm việc, giao tiếp với nhau, với giáo viên.</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gridAfter w:val="1"/>
          <w:wAfter w:w="10" w:type="dxa"/>
          <w:trHeight w:val="44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1036" w:type="dxa"/>
            <w:tcBorders>
              <w:left w:val="single" w:sz="4" w:space="0" w:color="auto"/>
            </w:tcBorders>
            <w:shd w:val="clear" w:color="auto" w:fill="auto"/>
            <w:noWrap/>
            <w:vAlign w:val="center"/>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khỏe mạnh, sạch sẽ, hoạt bát, có nề nếp, thói quen tốt.</w:t>
            </w:r>
          </w:p>
          <w:p w:rsidR="00F529B5" w:rsidRPr="00F529B5" w:rsidRDefault="00F529B5" w:rsidP="00F529B5">
            <w:pPr>
              <w:spacing w:after="0" w:line="240" w:lineRule="auto"/>
              <w:rPr>
                <w:rFonts w:ascii="Times New Roman" w:eastAsia="Times New Roman" w:hAnsi="Times New Roman" w:cs="Times New Roman"/>
                <w:sz w:val="28"/>
                <w:szCs w:val="28"/>
              </w:rPr>
            </w:pPr>
          </w:p>
        </w:tc>
        <w:tc>
          <w:tcPr>
            <w:tcW w:w="1080"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x</w:t>
            </w:r>
          </w:p>
        </w:tc>
        <w:tc>
          <w:tcPr>
            <w:tcW w:w="1275" w:type="dxa"/>
            <w:shd w:val="clear" w:color="auto" w:fill="auto"/>
            <w:noWrap/>
            <w:vAlign w:val="center"/>
            <w:hideMark/>
          </w:tcPr>
          <w:p w:rsidR="00F529B5" w:rsidRPr="00F529B5" w:rsidRDefault="00F529B5" w:rsidP="00F529B5">
            <w:pPr>
              <w:spacing w:after="0" w:line="240" w:lineRule="auto"/>
              <w:jc w:val="center"/>
              <w:rPr>
                <w:rFonts w:ascii="Times New Roman" w:eastAsia="Times New Roman" w:hAnsi="Times New Roman" w:cs="Times New Roman"/>
                <w:sz w:val="28"/>
                <w:szCs w:val="28"/>
              </w:rPr>
            </w:pPr>
          </w:p>
        </w:tc>
      </w:tr>
      <w:tr w:rsidR="00F529B5" w:rsidRPr="00F529B5" w:rsidTr="0014056A">
        <w:trPr>
          <w:trHeight w:val="1400"/>
        </w:trPr>
        <w:tc>
          <w:tcPr>
            <w:tcW w:w="630" w:type="dxa"/>
            <w:vMerge w:val="restart"/>
            <w:tcBorders>
              <w:top w:val="single" w:sz="4" w:space="0" w:color="auto"/>
            </w:tcBorders>
            <w:shd w:val="clear" w:color="auto" w:fill="auto"/>
            <w:noWrap/>
            <w:textDirection w:val="btLr"/>
            <w:vAlign w:val="center"/>
            <w:hideMark/>
          </w:tcPr>
          <w:p w:rsidR="00F529B5" w:rsidRPr="00F529B5" w:rsidRDefault="00F529B5" w:rsidP="00F529B5">
            <w:pPr>
              <w:spacing w:after="0" w:line="240" w:lineRule="auto"/>
              <w:jc w:val="center"/>
              <w:rPr>
                <w:rFonts w:ascii="Times New Roman" w:eastAsia="Times New Roman" w:hAnsi="Times New Roman" w:cs="Times New Roman"/>
                <w:b/>
                <w:bCs/>
                <w:sz w:val="27"/>
                <w:szCs w:val="27"/>
              </w:rPr>
            </w:pPr>
            <w:r w:rsidRPr="00F529B5">
              <w:rPr>
                <w:rFonts w:ascii="Times New Roman" w:eastAsia="Times New Roman" w:hAnsi="Times New Roman" w:cs="Times New Roman"/>
                <w:b/>
                <w:bCs/>
                <w:sz w:val="27"/>
                <w:szCs w:val="27"/>
              </w:rPr>
              <w:t>Các điểm cần lưu ý</w:t>
            </w:r>
          </w:p>
        </w:tc>
        <w:tc>
          <w:tcPr>
            <w:tcW w:w="13401" w:type="dxa"/>
            <w:gridSpan w:val="4"/>
            <w:shd w:val="clear" w:color="auto" w:fill="auto"/>
            <w:hideMark/>
          </w:tcPr>
          <w:p w:rsidR="00E70237" w:rsidRPr="00E70237" w:rsidRDefault="00F529B5" w:rsidP="00E70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eastAsia="vi-VN"/>
              </w:rPr>
            </w:pPr>
            <w:r w:rsidRPr="00F529B5">
              <w:rPr>
                <w:rFonts w:ascii="Times New Roman" w:eastAsia="Times New Roman" w:hAnsi="Times New Roman" w:cs="Times New Roman"/>
                <w:sz w:val="28"/>
                <w:szCs w:val="28"/>
              </w:rPr>
              <w:t>Mục tiêu của chủ đề đã t</w:t>
            </w:r>
            <w:r w:rsidR="00E70237">
              <w:rPr>
                <w:rFonts w:ascii="Times New Roman" w:eastAsia="Times New Roman" w:hAnsi="Times New Roman" w:cs="Times New Roman"/>
                <w:sz w:val="28"/>
                <w:szCs w:val="28"/>
              </w:rPr>
              <w:t>hực hiện tốt:</w:t>
            </w:r>
            <w:r w:rsidR="00E70237">
              <w:rPr>
                <w:rFonts w:ascii="Times New Roman" w:eastAsia="Times New Roman" w:hAnsi="Times New Roman" w:cs="Times New Roman"/>
                <w:sz w:val="28"/>
                <w:szCs w:val="28"/>
              </w:rPr>
              <w:br/>
              <w:t xml:space="preserve">- Kiến thức: </w:t>
            </w:r>
            <w:r w:rsidR="00E70237" w:rsidRPr="00E70237">
              <w:rPr>
                <w:rFonts w:ascii="Times New Roman" w:hAnsi="Times New Roman" w:cs="Times New Roman"/>
                <w:color w:val="000000" w:themeColor="text1"/>
                <w:sz w:val="28"/>
                <w:szCs w:val="28"/>
                <w:lang w:val="vi-VN" w:eastAsia="vi-VN"/>
              </w:rPr>
              <w:t xml:space="preserve">Trẻ biết </w:t>
            </w:r>
            <w:r w:rsidR="00630781">
              <w:rPr>
                <w:rFonts w:ascii="Times New Roman" w:hAnsi="Times New Roman" w:cs="Times New Roman"/>
                <w:color w:val="000000" w:themeColor="text1"/>
                <w:sz w:val="28"/>
                <w:szCs w:val="28"/>
                <w:lang w:eastAsia="vi-VN"/>
              </w:rPr>
              <w:t>tên gọi, đặc điểm</w:t>
            </w:r>
            <w:r w:rsidR="005253FE">
              <w:rPr>
                <w:rFonts w:ascii="Times New Roman" w:hAnsi="Times New Roman" w:cs="Times New Roman"/>
                <w:color w:val="000000" w:themeColor="text1"/>
                <w:sz w:val="28"/>
                <w:szCs w:val="28"/>
                <w:lang w:eastAsia="vi-VN"/>
              </w:rPr>
              <w:t>, nơi hoạt động</w:t>
            </w:r>
            <w:r w:rsidR="00630781">
              <w:rPr>
                <w:rFonts w:ascii="Times New Roman" w:hAnsi="Times New Roman" w:cs="Times New Roman"/>
                <w:color w:val="000000" w:themeColor="text1"/>
                <w:sz w:val="28"/>
                <w:szCs w:val="28"/>
                <w:lang w:eastAsia="vi-VN"/>
              </w:rPr>
              <w:t xml:space="preserve"> của một số </w:t>
            </w:r>
            <w:r w:rsidR="005253FE">
              <w:rPr>
                <w:rFonts w:ascii="Times New Roman" w:hAnsi="Times New Roman" w:cs="Times New Roman"/>
                <w:color w:val="000000" w:themeColor="text1"/>
                <w:sz w:val="28"/>
                <w:szCs w:val="28"/>
                <w:lang w:eastAsia="vi-VN"/>
              </w:rPr>
              <w:t>loại PTGT</w:t>
            </w:r>
            <w:r w:rsidR="00630781">
              <w:rPr>
                <w:rFonts w:ascii="Times New Roman" w:hAnsi="Times New Roman" w:cs="Times New Roman"/>
                <w:color w:val="000000" w:themeColor="text1"/>
                <w:sz w:val="28"/>
                <w:szCs w:val="28"/>
                <w:lang w:eastAsia="vi-VN"/>
              </w:rPr>
              <w:t xml:space="preserve">. Biết </w:t>
            </w:r>
            <w:r w:rsidR="005253FE">
              <w:rPr>
                <w:rFonts w:ascii="Times New Roman" w:hAnsi="Times New Roman" w:cs="Times New Roman"/>
                <w:color w:val="000000" w:themeColor="text1"/>
                <w:sz w:val="28"/>
                <w:szCs w:val="28"/>
                <w:lang w:eastAsia="vi-VN"/>
              </w:rPr>
              <w:t>một số luật lệ, biển báo an toàn khi tham gia giao thông</w:t>
            </w:r>
            <w:r w:rsidR="00630781">
              <w:rPr>
                <w:rFonts w:ascii="Times New Roman" w:hAnsi="Times New Roman" w:cs="Times New Roman"/>
                <w:color w:val="000000" w:themeColor="text1"/>
                <w:sz w:val="28"/>
                <w:szCs w:val="28"/>
                <w:lang w:eastAsia="vi-VN"/>
              </w:rPr>
              <w:t xml:space="preserve">. Biết </w:t>
            </w:r>
            <w:r w:rsidR="005253FE">
              <w:rPr>
                <w:rFonts w:ascii="Times New Roman" w:hAnsi="Times New Roman" w:cs="Times New Roman"/>
                <w:color w:val="000000" w:themeColor="text1"/>
                <w:sz w:val="28"/>
                <w:szCs w:val="28"/>
                <w:lang w:eastAsia="vi-VN"/>
              </w:rPr>
              <w:t>một số hành vi đúng- sai khi tham gia giao thông, ngồi trên PTGT.</w:t>
            </w:r>
            <w:r w:rsidR="00630781">
              <w:rPr>
                <w:rFonts w:ascii="Times New Roman" w:hAnsi="Times New Roman" w:cs="Times New Roman"/>
                <w:color w:val="000000" w:themeColor="text1"/>
                <w:sz w:val="28"/>
                <w:szCs w:val="28"/>
                <w:lang w:eastAsia="vi-VN"/>
              </w:rPr>
              <w:t xml:space="preserve"> Thuộc một số bài thơ, bài hát, hiểu một số nội dung câu chuyện trong chủ đề.</w:t>
            </w:r>
          </w:p>
          <w:p w:rsidR="00F529B5" w:rsidRPr="00F529B5" w:rsidRDefault="000C0A3E"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Kỹ năng:  </w:t>
            </w:r>
            <w:r w:rsidR="00497A32">
              <w:rPr>
                <w:rFonts w:ascii="Times New Roman" w:eastAsia="Times New Roman" w:hAnsi="Times New Roman" w:cs="Times New Roman"/>
                <w:sz w:val="28"/>
                <w:szCs w:val="28"/>
              </w:rPr>
              <w:t>Trẻ có kỹ năng khi tham gia vào các hoạt động: vẽ, nặn, xé dán, tô màu, kỹ năng vui chơi…</w:t>
            </w:r>
          </w:p>
          <w:p w:rsidR="00F529B5" w:rsidRPr="00F529B5" w:rsidRDefault="00F529B5" w:rsidP="005253FE">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Thái độ:  Trẻ </w:t>
            </w:r>
            <w:r w:rsidR="005253FE">
              <w:rPr>
                <w:rFonts w:ascii="Times New Roman" w:eastAsia="Times New Roman" w:hAnsi="Times New Roman" w:cs="Times New Roman"/>
                <w:sz w:val="28"/>
                <w:szCs w:val="28"/>
              </w:rPr>
              <w:t>biết giữ an toàn khi tham gia giao thông</w:t>
            </w:r>
            <w:r w:rsidR="00630781">
              <w:rPr>
                <w:rFonts w:ascii="Times New Roman" w:eastAsia="Times New Roman" w:hAnsi="Times New Roman" w:cs="Times New Roman"/>
                <w:sz w:val="28"/>
                <w:szCs w:val="28"/>
              </w:rPr>
              <w:t>, cây xanh</w:t>
            </w:r>
            <w:r w:rsidR="00497A32">
              <w:rPr>
                <w:rFonts w:ascii="Times New Roman" w:eastAsia="Times New Roman" w:hAnsi="Times New Roman" w:cs="Times New Roman"/>
                <w:sz w:val="28"/>
                <w:szCs w:val="28"/>
              </w:rPr>
              <w:t>. Trẻ hứng thú tham gia vào các hoạt động.</w:t>
            </w:r>
          </w:p>
        </w:tc>
      </w:tr>
      <w:tr w:rsidR="00F529B5" w:rsidRPr="00F529B5" w:rsidTr="0014056A">
        <w:trPr>
          <w:trHeight w:val="899"/>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497A32" w:rsidP="00F529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Mục tiêu của chủ đề </w:t>
            </w:r>
            <w:r w:rsidR="005253FE">
              <w:rPr>
                <w:rFonts w:ascii="Times New Roman" w:eastAsia="Times New Roman" w:hAnsi="Times New Roman" w:cs="Times New Roman"/>
                <w:sz w:val="28"/>
                <w:szCs w:val="28"/>
              </w:rPr>
              <w:t>chưa thực hiện được (</w:t>
            </w:r>
            <w:r w:rsidR="00F529B5" w:rsidRPr="00F529B5">
              <w:rPr>
                <w:rFonts w:ascii="Times New Roman" w:eastAsia="Times New Roman" w:hAnsi="Times New Roman" w:cs="Times New Roman"/>
                <w:sz w:val="28"/>
                <w:szCs w:val="28"/>
              </w:rPr>
              <w:t xml:space="preserve">lý do): </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Kỹ năng </w:t>
            </w:r>
            <w:r w:rsidR="005253FE">
              <w:rPr>
                <w:rFonts w:ascii="Times New Roman" w:eastAsia="Times New Roman" w:hAnsi="Times New Roman" w:cs="Times New Roman"/>
                <w:sz w:val="28"/>
                <w:szCs w:val="28"/>
              </w:rPr>
              <w:t xml:space="preserve">so sánh, thêm bớt, tách gộp trong </w:t>
            </w:r>
            <w:r w:rsidR="00497A32">
              <w:rPr>
                <w:rFonts w:ascii="Times New Roman" w:eastAsia="Times New Roman" w:hAnsi="Times New Roman" w:cs="Times New Roman"/>
                <w:sz w:val="28"/>
                <w:szCs w:val="28"/>
              </w:rPr>
              <w:t>PV 5 còn hạn chế</w:t>
            </w:r>
          </w:p>
          <w:p w:rsidR="00F529B5" w:rsidRPr="00F529B5" w:rsidRDefault="00F529B5" w:rsidP="000C0A3E">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Lý do là sĩ số trẻ đông</w:t>
            </w:r>
            <w:r w:rsidR="000C0A3E">
              <w:rPr>
                <w:rFonts w:ascii="Times New Roman" w:eastAsia="Times New Roman" w:hAnsi="Times New Roman" w:cs="Times New Roman"/>
                <w:sz w:val="28"/>
                <w:szCs w:val="28"/>
              </w:rPr>
              <w:t xml:space="preserve"> chưa có nhiều thời gian bao quát và xử lý tình huống</w:t>
            </w:r>
          </w:p>
        </w:tc>
      </w:tr>
      <w:tr w:rsidR="00F529B5" w:rsidRPr="00F529B5" w:rsidTr="0014056A">
        <w:trPr>
          <w:trHeight w:val="574"/>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Mục tiêu của chủ đề mà trên 30% trẻ chưa đạt được( lý do):</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Hầu hết trẻ đều thực hiện tốt các mục tiêu cô đưa ra trong chủ đề</w:t>
            </w:r>
          </w:p>
        </w:tc>
      </w:tr>
      <w:tr w:rsidR="00F529B5" w:rsidRPr="00F529B5" w:rsidTr="000C0A3E">
        <w:trPr>
          <w:trHeight w:val="346"/>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Nội dung nào đã thực hiện tốt</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Nội dung ở chủ đề này mà trẻ thực hiện tốt đó là: </w:t>
            </w:r>
            <w:r w:rsidR="00497A32">
              <w:rPr>
                <w:rFonts w:ascii="Times New Roman" w:eastAsia="Times New Roman" w:hAnsi="Times New Roman" w:cs="Times New Roman"/>
                <w:sz w:val="28"/>
                <w:szCs w:val="28"/>
              </w:rPr>
              <w:t xml:space="preserve">Trẻ hào hứng khi </w:t>
            </w:r>
            <w:r w:rsidR="005253FE">
              <w:rPr>
                <w:rFonts w:ascii="Times New Roman" w:eastAsia="Times New Roman" w:hAnsi="Times New Roman" w:cs="Times New Roman"/>
                <w:sz w:val="28"/>
                <w:szCs w:val="28"/>
              </w:rPr>
              <w:t>tìm hiểu về một số loại PTGT</w:t>
            </w:r>
            <w:r w:rsidR="00497A32">
              <w:rPr>
                <w:rFonts w:ascii="Times New Roman" w:eastAsia="Times New Roman" w:hAnsi="Times New Roman" w:cs="Times New Roman"/>
                <w:sz w:val="28"/>
                <w:szCs w:val="28"/>
              </w:rPr>
              <w:t xml:space="preserve">, tích cực tham gia vào các hoạt </w:t>
            </w:r>
            <w:proofErr w:type="gramStart"/>
            <w:r w:rsidR="00497A32">
              <w:rPr>
                <w:rFonts w:ascii="Times New Roman" w:eastAsia="Times New Roman" w:hAnsi="Times New Roman" w:cs="Times New Roman"/>
                <w:sz w:val="28"/>
                <w:szCs w:val="28"/>
              </w:rPr>
              <w:t xml:space="preserve">động </w:t>
            </w:r>
            <w:r w:rsidR="005253FE">
              <w:rPr>
                <w:rFonts w:ascii="Times New Roman" w:eastAsia="Times New Roman" w:hAnsi="Times New Roman" w:cs="Times New Roman"/>
                <w:sz w:val="28"/>
                <w:szCs w:val="28"/>
              </w:rPr>
              <w:t>.</w:t>
            </w:r>
            <w:proofErr w:type="gramEnd"/>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lastRenderedPageBreak/>
              <w:t>- Trẻ thuộc các bài hát, bài thơ nói về chủ đề, trẻ biết tạo ra một số đồ chơi mà trẻ thích.</w:t>
            </w:r>
          </w:p>
        </w:tc>
      </w:tr>
      <w:tr w:rsidR="00F529B5" w:rsidRPr="00F529B5" w:rsidTr="0014056A">
        <w:trPr>
          <w:trHeight w:val="440"/>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Nội dung nào chưa thực hiện được( lý do):</w:t>
            </w:r>
          </w:p>
          <w:p w:rsidR="000C0A3E" w:rsidRDefault="00F529B5" w:rsidP="000C0A3E">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 Nội dung mà trẻ chưa thực hiện tốt ở chủ đề này đó là </w:t>
            </w:r>
            <w:r w:rsidR="000C0A3E">
              <w:rPr>
                <w:rFonts w:ascii="Times New Roman" w:eastAsia="Times New Roman" w:hAnsi="Times New Roman" w:cs="Times New Roman"/>
                <w:sz w:val="28"/>
                <w:szCs w:val="28"/>
              </w:rPr>
              <w:t xml:space="preserve">kỹ năng </w:t>
            </w:r>
            <w:r w:rsidR="005253FE">
              <w:rPr>
                <w:rFonts w:ascii="Times New Roman" w:eastAsia="Times New Roman" w:hAnsi="Times New Roman" w:cs="Times New Roman"/>
                <w:sz w:val="28"/>
                <w:szCs w:val="28"/>
              </w:rPr>
              <w:t xml:space="preserve">so sánh, thêm bớt, </w:t>
            </w:r>
            <w:bookmarkStart w:id="0" w:name="_GoBack"/>
            <w:bookmarkEnd w:id="0"/>
            <w:r w:rsidR="005253FE">
              <w:rPr>
                <w:rFonts w:ascii="Times New Roman" w:eastAsia="Times New Roman" w:hAnsi="Times New Roman" w:cs="Times New Roman"/>
                <w:sz w:val="28"/>
                <w:szCs w:val="28"/>
              </w:rPr>
              <w:t xml:space="preserve">tách gộp trong </w:t>
            </w:r>
            <w:r w:rsidR="00497A32">
              <w:rPr>
                <w:rFonts w:ascii="Times New Roman" w:eastAsia="Times New Roman" w:hAnsi="Times New Roman" w:cs="Times New Roman"/>
                <w:sz w:val="28"/>
                <w:szCs w:val="28"/>
              </w:rPr>
              <w:t>PV 5</w:t>
            </w:r>
            <w:r w:rsidR="000C0A3E">
              <w:rPr>
                <w:rFonts w:ascii="Times New Roman" w:eastAsia="Times New Roman" w:hAnsi="Times New Roman" w:cs="Times New Roman"/>
                <w:sz w:val="28"/>
                <w:szCs w:val="28"/>
              </w:rPr>
              <w:t xml:space="preserve"> còn hạn chế</w:t>
            </w:r>
            <w:r w:rsidRPr="00F529B5">
              <w:rPr>
                <w:rFonts w:ascii="Times New Roman" w:eastAsia="Times New Roman" w:hAnsi="Times New Roman" w:cs="Times New Roman"/>
                <w:sz w:val="28"/>
                <w:szCs w:val="28"/>
              </w:rPr>
              <w:t xml:space="preserve"> </w:t>
            </w:r>
          </w:p>
          <w:p w:rsidR="00F529B5" w:rsidRPr="00F529B5" w:rsidRDefault="000C0A3E" w:rsidP="000C0A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 thời gian hạn chế, học sinh đông nên chưa bao quát hết trẻ</w:t>
            </w:r>
            <w:r w:rsidR="00F529B5" w:rsidRPr="00F529B5">
              <w:rPr>
                <w:rFonts w:ascii="Times New Roman" w:eastAsia="Times New Roman" w:hAnsi="Times New Roman" w:cs="Times New Roman"/>
                <w:sz w:val="28"/>
                <w:szCs w:val="28"/>
              </w:rPr>
              <w:t xml:space="preserve"> </w:t>
            </w:r>
          </w:p>
        </w:tc>
      </w:tr>
      <w:tr w:rsidR="00F529B5" w:rsidRPr="00F529B5" w:rsidTr="0014056A">
        <w:trPr>
          <w:trHeight w:val="1978"/>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Trẻ nào cần được làm việc cá nhân hay cần thông báo với phụ huynh để có những quan tâm đặc biệt nhằm đạt mục tiêu giáo dục (sức khỏe, tình cảm, thái độ, kiến thức, kĩ năng…)</w:t>
            </w:r>
          </w:p>
          <w:p w:rsidR="00831E0B" w:rsidRDefault="00F529B5" w:rsidP="00831E0B">
            <w:pPr>
              <w:spacing w:after="0" w:line="240" w:lineRule="auto"/>
              <w:rPr>
                <w:rFonts w:ascii="Times New Roman" w:eastAsia="Times New Roman" w:hAnsi="Times New Roman" w:cs="Times New Roman"/>
                <w:color w:val="000000"/>
                <w:sz w:val="28"/>
                <w:szCs w:val="28"/>
              </w:rPr>
            </w:pPr>
            <w:r w:rsidRPr="00F529B5">
              <w:rPr>
                <w:rFonts w:ascii="Times New Roman" w:eastAsia="Times New Roman" w:hAnsi="Times New Roman" w:cs="Times New Roman"/>
                <w:sz w:val="28"/>
                <w:szCs w:val="28"/>
              </w:rPr>
              <w:t>- Một số trẻ cần lưu ý:  Trẻ đầu năm nên cô lên kế hoạch rèn trẻ mọi lúc mọi nơi về kỹ năng, kiến thức của chủ đề</w:t>
            </w:r>
            <w:r w:rsidRPr="00F529B5">
              <w:rPr>
                <w:rFonts w:ascii="Times New Roman" w:eastAsia="Times New Roman" w:hAnsi="Times New Roman" w:cs="Times New Roman"/>
                <w:sz w:val="28"/>
                <w:szCs w:val="28"/>
              </w:rPr>
              <w:br/>
            </w:r>
            <w:r w:rsidR="00831E0B">
              <w:rPr>
                <w:rFonts w:ascii="Times New Roman" w:eastAsia="Times New Roman" w:hAnsi="Times New Roman" w:cs="Times New Roman"/>
                <w:sz w:val="28"/>
                <w:szCs w:val="28"/>
              </w:rPr>
              <w:t xml:space="preserve">+ Sức khỏe: </w:t>
            </w:r>
            <w:r w:rsidR="00831E0B">
              <w:rPr>
                <w:rFonts w:ascii="Times New Roman" w:eastAsia="Times New Roman" w:hAnsi="Times New Roman" w:cs="Times New Roman"/>
                <w:color w:val="000000"/>
                <w:sz w:val="28"/>
                <w:szCs w:val="28"/>
              </w:rPr>
              <w:t xml:space="preserve">Nhã </w:t>
            </w:r>
            <w:r w:rsidR="00497A32">
              <w:rPr>
                <w:rFonts w:ascii="Times New Roman" w:eastAsia="Times New Roman" w:hAnsi="Times New Roman" w:cs="Times New Roman"/>
                <w:color w:val="000000"/>
                <w:sz w:val="28"/>
                <w:szCs w:val="28"/>
              </w:rPr>
              <w:t>Phương, Thùy Dương, Minh Kh</w:t>
            </w:r>
            <w:r w:rsidR="00831E0B">
              <w:rPr>
                <w:rFonts w:ascii="Times New Roman" w:eastAsia="Times New Roman" w:hAnsi="Times New Roman" w:cs="Times New Roman"/>
                <w:color w:val="000000"/>
                <w:sz w:val="28"/>
                <w:szCs w:val="28"/>
              </w:rPr>
              <w:t>ôi… hay nghỉ ốm</w:t>
            </w:r>
          </w:p>
          <w:p w:rsidR="00831E0B" w:rsidRDefault="000C0A3E" w:rsidP="00831E0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Thiên Tân, Gia Hư</w:t>
            </w:r>
            <w:r w:rsidR="00831E0B">
              <w:rPr>
                <w:rFonts w:ascii="Times New Roman" w:eastAsia="Times New Roman" w:hAnsi="Times New Roman" w:cs="Times New Roman"/>
                <w:color w:val="000000"/>
                <w:sz w:val="28"/>
                <w:szCs w:val="28"/>
              </w:rPr>
              <w:t xml:space="preserve">ng, Anh Duy .. kỹ năng giao tiếp và kỹ năng </w:t>
            </w:r>
            <w:r w:rsidR="00497A32">
              <w:rPr>
                <w:rFonts w:ascii="Times New Roman" w:eastAsia="Times New Roman" w:hAnsi="Times New Roman" w:cs="Times New Roman"/>
                <w:color w:val="000000"/>
                <w:sz w:val="28"/>
                <w:szCs w:val="28"/>
              </w:rPr>
              <w:t>so sánh, thêm bớt</w:t>
            </w:r>
            <w:r w:rsidR="00831E0B">
              <w:rPr>
                <w:rFonts w:ascii="Times New Roman" w:eastAsia="Times New Roman" w:hAnsi="Times New Roman" w:cs="Times New Roman"/>
                <w:color w:val="000000"/>
                <w:sz w:val="28"/>
                <w:szCs w:val="28"/>
              </w:rPr>
              <w:t xml:space="preserve"> còn hạn chế, </w:t>
            </w:r>
          </w:p>
          <w:p w:rsidR="00F529B5" w:rsidRPr="00F529B5" w:rsidRDefault="00831E0B" w:rsidP="00831E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Tình cảm: Cháu Hò</w:t>
            </w:r>
            <w:r w:rsidR="00497A32">
              <w:rPr>
                <w:rFonts w:ascii="Times New Roman" w:eastAsia="Times New Roman" w:hAnsi="Times New Roman" w:cs="Times New Roman"/>
                <w:color w:val="000000"/>
                <w:sz w:val="28"/>
                <w:szCs w:val="28"/>
              </w:rPr>
              <w:t xml:space="preserve">a Bình, Gia Hưng … hay đánh bạn, </w:t>
            </w:r>
            <w:r>
              <w:rPr>
                <w:rFonts w:ascii="Times New Roman" w:eastAsia="Times New Roman" w:hAnsi="Times New Roman" w:cs="Times New Roman"/>
                <w:color w:val="000000"/>
                <w:sz w:val="28"/>
                <w:szCs w:val="28"/>
              </w:rPr>
              <w:t>chơi chưa đoàn kết</w:t>
            </w:r>
          </w:p>
        </w:tc>
      </w:tr>
      <w:tr w:rsidR="00F529B5" w:rsidRPr="00F529B5" w:rsidTr="0014056A">
        <w:trPr>
          <w:trHeight w:val="1272"/>
        </w:trPr>
        <w:tc>
          <w:tcPr>
            <w:tcW w:w="630" w:type="dxa"/>
            <w:vMerge/>
            <w:vAlign w:val="center"/>
            <w:hideMark/>
          </w:tcPr>
          <w:p w:rsidR="00F529B5" w:rsidRPr="00F529B5" w:rsidRDefault="00F529B5" w:rsidP="00F529B5">
            <w:pPr>
              <w:spacing w:after="0" w:line="240" w:lineRule="auto"/>
              <w:rPr>
                <w:rFonts w:ascii="Times New Roman" w:eastAsia="Times New Roman" w:hAnsi="Times New Roman" w:cs="Times New Roman"/>
                <w:b/>
                <w:bCs/>
                <w:sz w:val="28"/>
                <w:szCs w:val="28"/>
              </w:rPr>
            </w:pPr>
          </w:p>
        </w:tc>
        <w:tc>
          <w:tcPr>
            <w:tcW w:w="13401" w:type="dxa"/>
            <w:gridSpan w:val="4"/>
            <w:shd w:val="clear" w:color="auto" w:fill="auto"/>
            <w:hideMark/>
          </w:tcPr>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xml:space="preserve">Một số lưu ý quan trọng để việc triển khai chủ đề sau được tốt hơn: </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Cần tuyên truyền với phụ huynh về chủ đề mới với trẻ có những thay đổi gì khác biệt hàng ngày</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Trao đổi với phụ huynh về tình hình tiếp thu của trẻ về chủ đề và kiến thức cần dạy trẻ</w:t>
            </w:r>
          </w:p>
          <w:p w:rsidR="00F529B5" w:rsidRPr="00F529B5" w:rsidRDefault="00F529B5" w:rsidP="00F529B5">
            <w:pPr>
              <w:spacing w:after="0" w:line="240" w:lineRule="auto"/>
              <w:rPr>
                <w:rFonts w:ascii="Times New Roman" w:eastAsia="Times New Roman" w:hAnsi="Times New Roman" w:cs="Times New Roman"/>
                <w:sz w:val="28"/>
                <w:szCs w:val="28"/>
              </w:rPr>
            </w:pPr>
            <w:r w:rsidRPr="00F529B5">
              <w:rPr>
                <w:rFonts w:ascii="Times New Roman" w:eastAsia="Times New Roman" w:hAnsi="Times New Roman" w:cs="Times New Roman"/>
                <w:sz w:val="28"/>
                <w:szCs w:val="28"/>
              </w:rPr>
              <w:t>- Cùng trẻ chơi đó chơi, cô hướng dẫn và trò chuyện cùng trẻ</w:t>
            </w:r>
          </w:p>
        </w:tc>
      </w:tr>
    </w:tbl>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tbl>
      <w:tblPr>
        <w:tblStyle w:val="TableGrid"/>
        <w:tblW w:w="146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2"/>
        <w:gridCol w:w="6998"/>
      </w:tblGrid>
      <w:tr w:rsidR="00F529B5" w:rsidRPr="00F529B5" w:rsidTr="00F01464">
        <w:tc>
          <w:tcPr>
            <w:tcW w:w="7672" w:type="dxa"/>
          </w:tcPr>
          <w:p w:rsidR="00F529B5" w:rsidRPr="00F529B5" w:rsidRDefault="00F529B5" w:rsidP="00F529B5">
            <w:pPr>
              <w:jc w:val="center"/>
              <w:rPr>
                <w:rFonts w:eastAsia="Calibri"/>
                <w:b/>
                <w:bCs/>
                <w:sz w:val="28"/>
                <w:szCs w:val="28"/>
              </w:rPr>
            </w:pPr>
            <w:r w:rsidRPr="00F529B5">
              <w:rPr>
                <w:rFonts w:eastAsia="Calibri"/>
                <w:b/>
                <w:bCs/>
                <w:sz w:val="28"/>
                <w:szCs w:val="28"/>
                <w:lang w:val="vi-VN"/>
              </w:rPr>
              <w:t>Ý kiến xác nhận của BGH</w:t>
            </w:r>
          </w:p>
          <w:p w:rsidR="00F529B5" w:rsidRPr="00F529B5" w:rsidRDefault="00F529B5" w:rsidP="00F529B5">
            <w:pPr>
              <w:contextualSpacing/>
              <w:jc w:val="center"/>
              <w:rPr>
                <w:b/>
                <w:color w:val="000000"/>
                <w:sz w:val="28"/>
                <w:szCs w:val="28"/>
                <w:lang w:val="nl-NL"/>
              </w:rPr>
            </w:pPr>
            <w:r w:rsidRPr="00F529B5">
              <w:rPr>
                <w:b/>
                <w:color w:val="000000"/>
                <w:sz w:val="28"/>
                <w:szCs w:val="28"/>
                <w:lang w:val="nl-NL"/>
              </w:rPr>
              <w:t>PHT</w:t>
            </w:r>
          </w:p>
          <w:p w:rsidR="00F529B5" w:rsidRPr="00F529B5" w:rsidRDefault="00F529B5" w:rsidP="00F529B5">
            <w:pPr>
              <w:contextualSpacing/>
              <w:jc w:val="center"/>
              <w:rPr>
                <w:b/>
                <w:color w:val="000000"/>
                <w:sz w:val="28"/>
                <w:szCs w:val="28"/>
                <w:lang w:val="nl-NL"/>
              </w:rPr>
            </w:pPr>
          </w:p>
          <w:p w:rsidR="00F529B5" w:rsidRPr="00F529B5" w:rsidRDefault="00F529B5" w:rsidP="00F529B5">
            <w:pPr>
              <w:contextualSpacing/>
              <w:jc w:val="center"/>
              <w:rPr>
                <w:b/>
                <w:color w:val="000000"/>
                <w:sz w:val="28"/>
                <w:szCs w:val="28"/>
                <w:lang w:val="nl-NL"/>
              </w:rPr>
            </w:pPr>
          </w:p>
          <w:p w:rsidR="00F529B5" w:rsidRPr="00F529B5" w:rsidRDefault="00F529B5" w:rsidP="00F529B5">
            <w:pPr>
              <w:contextualSpacing/>
              <w:rPr>
                <w:b/>
                <w:color w:val="000000"/>
                <w:sz w:val="28"/>
                <w:szCs w:val="28"/>
                <w:lang w:val="nl-NL"/>
              </w:rPr>
            </w:pPr>
          </w:p>
          <w:p w:rsidR="00F529B5" w:rsidRPr="00F529B5" w:rsidRDefault="00F529B5" w:rsidP="00F529B5">
            <w:pPr>
              <w:contextualSpacing/>
              <w:jc w:val="center"/>
              <w:rPr>
                <w:b/>
                <w:color w:val="000000"/>
                <w:sz w:val="28"/>
                <w:szCs w:val="28"/>
                <w:lang w:val="nl-NL"/>
              </w:rPr>
            </w:pPr>
          </w:p>
        </w:tc>
        <w:tc>
          <w:tcPr>
            <w:tcW w:w="6998" w:type="dxa"/>
          </w:tcPr>
          <w:p w:rsidR="00F529B5" w:rsidRPr="00F529B5" w:rsidRDefault="00F529B5" w:rsidP="00F529B5">
            <w:pPr>
              <w:contextualSpacing/>
              <w:jc w:val="center"/>
              <w:rPr>
                <w:rFonts w:eastAsia="Calibri"/>
                <w:b/>
                <w:bCs/>
                <w:sz w:val="28"/>
                <w:szCs w:val="28"/>
                <w:lang w:val="vi-VN"/>
              </w:rPr>
            </w:pPr>
            <w:r w:rsidRPr="00F529B5">
              <w:rPr>
                <w:rFonts w:eastAsia="Calibri"/>
                <w:b/>
                <w:bCs/>
                <w:sz w:val="28"/>
                <w:szCs w:val="28"/>
                <w:lang w:val="vi-VN"/>
              </w:rPr>
              <w:t>Giáo viên</w:t>
            </w:r>
          </w:p>
          <w:p w:rsidR="00F529B5" w:rsidRPr="00F529B5" w:rsidRDefault="00F529B5" w:rsidP="00F529B5">
            <w:pPr>
              <w:contextualSpacing/>
              <w:rPr>
                <w:rFonts w:eastAsia="Calibri"/>
                <w:b/>
                <w:bCs/>
                <w:sz w:val="28"/>
                <w:szCs w:val="28"/>
                <w:lang w:val="vi-VN"/>
              </w:rPr>
            </w:pPr>
          </w:p>
          <w:p w:rsidR="00F529B5" w:rsidRPr="00F529B5" w:rsidRDefault="00F529B5" w:rsidP="00F529B5">
            <w:pPr>
              <w:contextualSpacing/>
              <w:rPr>
                <w:rFonts w:eastAsia="Calibri"/>
                <w:b/>
                <w:bCs/>
                <w:sz w:val="28"/>
                <w:szCs w:val="28"/>
                <w:lang w:val="vi-VN"/>
              </w:rPr>
            </w:pPr>
          </w:p>
          <w:p w:rsidR="00F529B5" w:rsidRPr="00F529B5" w:rsidRDefault="00F529B5" w:rsidP="00F529B5">
            <w:pPr>
              <w:contextualSpacing/>
              <w:jc w:val="center"/>
              <w:rPr>
                <w:rFonts w:eastAsia="Calibri"/>
                <w:b/>
                <w:bCs/>
                <w:sz w:val="28"/>
                <w:szCs w:val="28"/>
              </w:rPr>
            </w:pPr>
          </w:p>
          <w:p w:rsidR="00F529B5" w:rsidRPr="00F529B5" w:rsidRDefault="00F529B5" w:rsidP="00F529B5">
            <w:pPr>
              <w:contextualSpacing/>
              <w:jc w:val="center"/>
              <w:rPr>
                <w:rFonts w:eastAsia="Calibri"/>
                <w:b/>
                <w:bCs/>
                <w:sz w:val="28"/>
                <w:szCs w:val="28"/>
              </w:rPr>
            </w:pPr>
          </w:p>
          <w:p w:rsidR="00F529B5" w:rsidRPr="00F529B5" w:rsidRDefault="00F529B5" w:rsidP="00F529B5">
            <w:pPr>
              <w:contextualSpacing/>
              <w:jc w:val="center"/>
              <w:rPr>
                <w:color w:val="000000"/>
                <w:sz w:val="28"/>
                <w:szCs w:val="28"/>
              </w:rPr>
            </w:pPr>
          </w:p>
        </w:tc>
      </w:tr>
    </w:tbl>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14056A" w:rsidRDefault="0014056A"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50197" w:rsidRDefault="00950197"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F529B5" w:rsidRPr="00F529B5" w:rsidRDefault="00F529B5" w:rsidP="00F529B5">
      <w:pPr>
        <w:spacing w:after="0" w:line="240" w:lineRule="auto"/>
        <w:contextualSpacing/>
        <w:jc w:val="center"/>
        <w:rPr>
          <w:rFonts w:ascii="Times New Roman" w:eastAsia="Times New Roman" w:hAnsi="Times New Roman" w:cs="Times New Roman"/>
          <w:color w:val="000000"/>
          <w:sz w:val="28"/>
          <w:szCs w:val="28"/>
          <w:lang w:val="nl-NL"/>
        </w:rPr>
      </w:pPr>
    </w:p>
    <w:p w:rsidR="00921846" w:rsidRDefault="00921846" w:rsidP="00F529B5">
      <w:pPr>
        <w:spacing w:after="0" w:line="240" w:lineRule="auto"/>
        <w:contextualSpacing/>
        <w:jc w:val="center"/>
        <w:rPr>
          <w:rFonts w:ascii="Times New Roman" w:eastAsia="Times New Roman" w:hAnsi="Times New Roman" w:cs="Times New Roman"/>
          <w:b/>
          <w:bCs/>
          <w:sz w:val="28"/>
          <w:szCs w:val="28"/>
          <w:u w:val="single"/>
          <w:lang w:val="nl-NL"/>
        </w:rPr>
      </w:pPr>
    </w:p>
    <w:p w:rsidR="00921846" w:rsidRDefault="00921846" w:rsidP="00F529B5">
      <w:pPr>
        <w:spacing w:after="0" w:line="240" w:lineRule="auto"/>
        <w:contextualSpacing/>
        <w:jc w:val="center"/>
        <w:rPr>
          <w:rFonts w:ascii="Times New Roman" w:eastAsia="Times New Roman" w:hAnsi="Times New Roman" w:cs="Times New Roman"/>
          <w:b/>
          <w:bCs/>
          <w:sz w:val="28"/>
          <w:szCs w:val="28"/>
          <w:u w:val="single"/>
          <w:lang w:val="nl-NL"/>
        </w:rPr>
      </w:pPr>
    </w:p>
    <w:sectPr w:rsidR="00921846" w:rsidSect="00F01464">
      <w:pgSz w:w="15840" w:h="12240" w:orient="landscape"/>
      <w:pgMar w:top="432" w:right="209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DB9"/>
    <w:multiLevelType w:val="hybridMultilevel"/>
    <w:tmpl w:val="EF7AC9A0"/>
    <w:lvl w:ilvl="0" w:tplc="ED9C174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73A2"/>
    <w:multiLevelType w:val="hybridMultilevel"/>
    <w:tmpl w:val="701A1C58"/>
    <w:lvl w:ilvl="0" w:tplc="CD7483E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33F6"/>
    <w:multiLevelType w:val="hybridMultilevel"/>
    <w:tmpl w:val="F8A8D6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1C91"/>
    <w:multiLevelType w:val="hybridMultilevel"/>
    <w:tmpl w:val="EE2C99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524B7"/>
    <w:multiLevelType w:val="hybridMultilevel"/>
    <w:tmpl w:val="7144B632"/>
    <w:lvl w:ilvl="0" w:tplc="E0769706">
      <w:start w:val="4"/>
      <w:numFmt w:val="bullet"/>
      <w:lvlText w:val="-"/>
      <w:lvlJc w:val="left"/>
      <w:pPr>
        <w:ind w:left="720" w:hanging="360"/>
      </w:pPr>
      <w:rPr>
        <w:rFonts w:ascii="Times New Roman" w:eastAsia="Times New Roman"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AC72AAB"/>
    <w:multiLevelType w:val="hybridMultilevel"/>
    <w:tmpl w:val="23B2EB7C"/>
    <w:lvl w:ilvl="0" w:tplc="597C563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5B566F"/>
    <w:multiLevelType w:val="hybridMultilevel"/>
    <w:tmpl w:val="1AB0597E"/>
    <w:lvl w:ilvl="0" w:tplc="725246D0">
      <w:start w:val="5"/>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55C86"/>
    <w:multiLevelType w:val="hybridMultilevel"/>
    <w:tmpl w:val="3588FDC8"/>
    <w:lvl w:ilvl="0" w:tplc="569C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124FD"/>
    <w:multiLevelType w:val="hybridMultilevel"/>
    <w:tmpl w:val="4734F6C6"/>
    <w:lvl w:ilvl="0" w:tplc="2D0A659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47D9A"/>
    <w:multiLevelType w:val="hybridMultilevel"/>
    <w:tmpl w:val="35F20B12"/>
    <w:lvl w:ilvl="0" w:tplc="042A0001">
      <w:start w:val="2"/>
      <w:numFmt w:val="bullet"/>
      <w:lvlText w:val=""/>
      <w:lvlJc w:val="left"/>
      <w:pPr>
        <w:ind w:left="720" w:hanging="360"/>
      </w:pPr>
      <w:rPr>
        <w:rFonts w:ascii="Symbol" w:eastAsia="Times New Roman"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6" w15:restartNumberingAfterBreak="0">
    <w:nsid w:val="529270D5"/>
    <w:multiLevelType w:val="hybridMultilevel"/>
    <w:tmpl w:val="613EE2C8"/>
    <w:lvl w:ilvl="0" w:tplc="B9D4A9AA">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65125ED"/>
    <w:multiLevelType w:val="hybridMultilevel"/>
    <w:tmpl w:val="58BA5E98"/>
    <w:lvl w:ilvl="0" w:tplc="6C624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E4685"/>
    <w:multiLevelType w:val="hybridMultilevel"/>
    <w:tmpl w:val="EFBA739E"/>
    <w:lvl w:ilvl="0" w:tplc="82545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C71"/>
    <w:multiLevelType w:val="multilevel"/>
    <w:tmpl w:val="EB2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81CDC"/>
    <w:multiLevelType w:val="hybridMultilevel"/>
    <w:tmpl w:val="CB0E96C4"/>
    <w:lvl w:ilvl="0" w:tplc="98E40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15558"/>
    <w:multiLevelType w:val="hybridMultilevel"/>
    <w:tmpl w:val="D5407646"/>
    <w:lvl w:ilvl="0" w:tplc="DE529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D4824C1"/>
    <w:multiLevelType w:val="hybridMultilevel"/>
    <w:tmpl w:val="543E5534"/>
    <w:lvl w:ilvl="0" w:tplc="F002231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66733"/>
    <w:multiLevelType w:val="hybridMultilevel"/>
    <w:tmpl w:val="0D98BD7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27"/>
  </w:num>
  <w:num w:numId="6">
    <w:abstractNumId w:val="28"/>
  </w:num>
  <w:num w:numId="7">
    <w:abstractNumId w:val="6"/>
  </w:num>
  <w:num w:numId="8">
    <w:abstractNumId w:val="22"/>
  </w:num>
  <w:num w:numId="9">
    <w:abstractNumId w:val="11"/>
  </w:num>
  <w:num w:numId="10">
    <w:abstractNumId w:val="26"/>
  </w:num>
  <w:num w:numId="11">
    <w:abstractNumId w:val="25"/>
  </w:num>
  <w:num w:numId="12">
    <w:abstractNumId w:val="10"/>
  </w:num>
  <w:num w:numId="13">
    <w:abstractNumId w:val="1"/>
  </w:num>
  <w:num w:numId="14">
    <w:abstractNumId w:val="2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18"/>
  </w:num>
  <w:num w:numId="20">
    <w:abstractNumId w:val="2"/>
  </w:num>
  <w:num w:numId="21">
    <w:abstractNumId w:val="24"/>
  </w:num>
  <w:num w:numId="22">
    <w:abstractNumId w:val="3"/>
  </w:num>
  <w:num w:numId="23">
    <w:abstractNumId w:val="5"/>
  </w:num>
  <w:num w:numId="24">
    <w:abstractNumId w:val="12"/>
  </w:num>
  <w:num w:numId="25">
    <w:abstractNumId w:val="19"/>
  </w:num>
  <w:num w:numId="26">
    <w:abstractNumId w:val="21"/>
  </w:num>
  <w:num w:numId="27">
    <w:abstractNumId w:val="13"/>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5"/>
    <w:rsid w:val="000C0A3E"/>
    <w:rsid w:val="00100469"/>
    <w:rsid w:val="0012031F"/>
    <w:rsid w:val="0014056A"/>
    <w:rsid w:val="00200B36"/>
    <w:rsid w:val="002B219A"/>
    <w:rsid w:val="003C1447"/>
    <w:rsid w:val="00497A32"/>
    <w:rsid w:val="00504F5E"/>
    <w:rsid w:val="005253FE"/>
    <w:rsid w:val="005E3540"/>
    <w:rsid w:val="00604FFB"/>
    <w:rsid w:val="00630781"/>
    <w:rsid w:val="00831E0B"/>
    <w:rsid w:val="00872296"/>
    <w:rsid w:val="00921846"/>
    <w:rsid w:val="00950197"/>
    <w:rsid w:val="00A72678"/>
    <w:rsid w:val="00B6429D"/>
    <w:rsid w:val="00BB0CA9"/>
    <w:rsid w:val="00C02F2E"/>
    <w:rsid w:val="00E70237"/>
    <w:rsid w:val="00F01464"/>
    <w:rsid w:val="00F15A99"/>
    <w:rsid w:val="00F5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2460"/>
  <w15:chartTrackingRefBased/>
  <w15:docId w15:val="{CA30CFB6-2352-47B3-A0E7-52D66845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529B5"/>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F529B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9B5"/>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F529B5"/>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F529B5"/>
  </w:style>
  <w:style w:type="paragraph" w:customStyle="1" w:styleId="Char1">
    <w:name w:val="Char1"/>
    <w:basedOn w:val="Normal"/>
    <w:autoRedefine/>
    <w:rsid w:val="00F529B5"/>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F529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29B5"/>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F529B5"/>
    <w:rPr>
      <w:rFonts w:ascii=".VnTime" w:eastAsia="Times New Roman" w:hAnsi=".VnTime" w:cs="Times New Roman"/>
      <w:sz w:val="28"/>
      <w:szCs w:val="24"/>
    </w:rPr>
  </w:style>
  <w:style w:type="character" w:customStyle="1" w:styleId="newscontent">
    <w:name w:val="news_content"/>
    <w:basedOn w:val="DefaultParagraphFont"/>
    <w:rsid w:val="00F529B5"/>
  </w:style>
  <w:style w:type="paragraph" w:styleId="Footer">
    <w:name w:val="footer"/>
    <w:basedOn w:val="Normal"/>
    <w:link w:val="FooterChar"/>
    <w:uiPriority w:val="99"/>
    <w:rsid w:val="00F529B5"/>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529B5"/>
    <w:rPr>
      <w:rFonts w:ascii="Times New Roman" w:eastAsia="Times New Roman" w:hAnsi="Times New Roman" w:cs="Times New Roman"/>
      <w:sz w:val="28"/>
      <w:szCs w:val="28"/>
    </w:rPr>
  </w:style>
  <w:style w:type="paragraph" w:styleId="BodyText">
    <w:name w:val="Body Text"/>
    <w:basedOn w:val="Normal"/>
    <w:link w:val="BodyTextChar"/>
    <w:rsid w:val="00F529B5"/>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F529B5"/>
    <w:rPr>
      <w:rFonts w:ascii="Times New Roman" w:eastAsia="Times New Roman" w:hAnsi="Times New Roman" w:cs="Times New Roman"/>
      <w:sz w:val="26"/>
      <w:szCs w:val="24"/>
    </w:rPr>
  </w:style>
  <w:style w:type="paragraph" w:customStyle="1" w:styleId="cs95e872d0">
    <w:name w:val="cs95e872d0"/>
    <w:basedOn w:val="Normal"/>
    <w:rsid w:val="00F52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F529B5"/>
  </w:style>
  <w:style w:type="character" w:customStyle="1" w:styleId="apple-converted-space">
    <w:name w:val="apple-converted-space"/>
    <w:basedOn w:val="DefaultParagraphFont"/>
    <w:rsid w:val="00F529B5"/>
  </w:style>
  <w:style w:type="paragraph" w:customStyle="1" w:styleId="Char">
    <w:name w:val="Char"/>
    <w:basedOn w:val="Normal"/>
    <w:rsid w:val="00F529B5"/>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F529B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529B5"/>
    <w:rPr>
      <w:rFonts w:ascii="Tahoma" w:eastAsia="Times New Roman" w:hAnsi="Tahoma" w:cs="Times New Roman"/>
      <w:sz w:val="16"/>
      <w:szCs w:val="16"/>
    </w:rPr>
  </w:style>
  <w:style w:type="paragraph" w:styleId="NormalWeb">
    <w:name w:val="Normal (Web)"/>
    <w:basedOn w:val="Normal"/>
    <w:uiPriority w:val="99"/>
    <w:unhideWhenUsed/>
    <w:rsid w:val="00F529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529B5"/>
    <w:rPr>
      <w:i/>
      <w:iCs/>
    </w:rPr>
  </w:style>
  <w:style w:type="paragraph" w:styleId="ListParagraph">
    <w:name w:val="List Paragraph"/>
    <w:basedOn w:val="Normal"/>
    <w:uiPriority w:val="34"/>
    <w:qFormat/>
    <w:rsid w:val="00F529B5"/>
    <w:pPr>
      <w:spacing w:after="0" w:line="240" w:lineRule="auto"/>
      <w:ind w:left="720"/>
      <w:contextualSpacing/>
    </w:pPr>
    <w:rPr>
      <w:rFonts w:ascii="Times New Roman" w:eastAsia="Times New Roman" w:hAnsi="Times New Roman" w:cs="Times New Roman"/>
      <w:sz w:val="28"/>
      <w:szCs w:val="28"/>
    </w:rPr>
  </w:style>
  <w:style w:type="character" w:styleId="Strong">
    <w:name w:val="Strong"/>
    <w:basedOn w:val="DefaultParagraphFont"/>
    <w:uiPriority w:val="22"/>
    <w:qFormat/>
    <w:rsid w:val="00F529B5"/>
    <w:rPr>
      <w:b/>
      <w:bCs/>
    </w:rPr>
  </w:style>
  <w:style w:type="paragraph" w:customStyle="1" w:styleId="Subtitle1">
    <w:name w:val="Subtitle1"/>
    <w:basedOn w:val="Normal"/>
    <w:next w:val="Normal"/>
    <w:uiPriority w:val="11"/>
    <w:qFormat/>
    <w:rsid w:val="00F529B5"/>
    <w:pPr>
      <w:numPr>
        <w:ilvl w:val="1"/>
      </w:numPr>
      <w:spacing w:line="240" w:lineRule="auto"/>
    </w:pPr>
    <w:rPr>
      <w:rFonts w:eastAsia="MS Mincho"/>
      <w:color w:val="5A5A5A"/>
      <w:spacing w:val="15"/>
    </w:rPr>
  </w:style>
  <w:style w:type="character" w:customStyle="1" w:styleId="SubtitleChar">
    <w:name w:val="Subtitle Char"/>
    <w:basedOn w:val="DefaultParagraphFont"/>
    <w:link w:val="Subtitle"/>
    <w:uiPriority w:val="11"/>
    <w:rsid w:val="00F529B5"/>
    <w:rPr>
      <w:rFonts w:eastAsia="MS Mincho"/>
      <w:color w:val="5A5A5A"/>
      <w:spacing w:val="15"/>
    </w:rPr>
  </w:style>
  <w:style w:type="paragraph" w:styleId="Subtitle">
    <w:name w:val="Subtitle"/>
    <w:basedOn w:val="Normal"/>
    <w:next w:val="Normal"/>
    <w:link w:val="SubtitleChar"/>
    <w:uiPriority w:val="11"/>
    <w:qFormat/>
    <w:rsid w:val="00F529B5"/>
    <w:pPr>
      <w:numPr>
        <w:ilvl w:val="1"/>
      </w:numPr>
    </w:pPr>
    <w:rPr>
      <w:rFonts w:eastAsia="MS Mincho"/>
      <w:color w:val="5A5A5A"/>
      <w:spacing w:val="15"/>
    </w:rPr>
  </w:style>
  <w:style w:type="character" w:customStyle="1" w:styleId="SubtitleChar1">
    <w:name w:val="Subtitle Char1"/>
    <w:basedOn w:val="DefaultParagraphFont"/>
    <w:uiPriority w:val="11"/>
    <w:rsid w:val="00F529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2004-8CAB-4D1A-B992-79A41720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21</cp:revision>
  <cp:lastPrinted>2024-07-25T02:39:00Z</cp:lastPrinted>
  <dcterms:created xsi:type="dcterms:W3CDTF">2024-07-21T03:12:00Z</dcterms:created>
  <dcterms:modified xsi:type="dcterms:W3CDTF">2025-04-12T13:41:00Z</dcterms:modified>
</cp:coreProperties>
</file>