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88" w:type="pct"/>
        <w:tblInd w:w="-630" w:type="dxa"/>
        <w:tblCellMar>
          <w:left w:w="0" w:type="dxa"/>
          <w:right w:w="0" w:type="dxa"/>
        </w:tblCellMar>
        <w:tblLook w:val="04A0" w:firstRow="1" w:lastRow="0" w:firstColumn="1" w:lastColumn="0" w:noHBand="0" w:noVBand="1"/>
      </w:tblPr>
      <w:tblGrid>
        <w:gridCol w:w="4723"/>
        <w:gridCol w:w="5917"/>
      </w:tblGrid>
      <w:tr w:rsidR="000E1709" w:rsidRPr="000E1709" w:rsidTr="000E1709">
        <w:tc>
          <w:tcPr>
            <w:tcW w:w="4820" w:type="dxa"/>
            <w:hideMark/>
          </w:tcPr>
          <w:p w:rsidR="000E1709" w:rsidRPr="000E1709" w:rsidRDefault="000E1709" w:rsidP="000E1709">
            <w:pPr>
              <w:spacing w:before="120" w:after="0" w:line="240" w:lineRule="auto"/>
              <w:jc w:val="center"/>
              <w:rPr>
                <w:rFonts w:ascii="Times New Roman" w:eastAsia="Times New Roman" w:hAnsi="Times New Roman" w:cs="Times New Roman"/>
                <w:color w:val="222222"/>
                <w:sz w:val="28"/>
                <w:szCs w:val="28"/>
              </w:rPr>
            </w:pPr>
            <w:bookmarkStart w:id="0" w:name="_GoBack"/>
            <w:bookmarkEnd w:id="0"/>
            <w:r w:rsidRPr="000E1709">
              <w:rPr>
                <w:rFonts w:ascii="Times New Roman" w:eastAsia="Times New Roman" w:hAnsi="Times New Roman" w:cs="Times New Roman"/>
                <w:b/>
                <w:bCs/>
                <w:color w:val="222222"/>
                <w:sz w:val="28"/>
                <w:szCs w:val="28"/>
              </w:rPr>
              <w:t>BỘ GIÁO DỤC VÀ ĐÀO TẠO</w:t>
            </w:r>
            <w:r w:rsidRPr="000E1709">
              <w:rPr>
                <w:rFonts w:ascii="Times New Roman" w:eastAsia="Times New Roman" w:hAnsi="Times New Roman" w:cs="Times New Roman"/>
                <w:color w:val="222222"/>
                <w:sz w:val="28"/>
                <w:szCs w:val="28"/>
              </w:rPr>
              <w:br/>
            </w:r>
            <w:r w:rsidRPr="000E1709">
              <w:rPr>
                <w:rFonts w:ascii="Times New Roman" w:eastAsia="Times New Roman" w:hAnsi="Times New Roman" w:cs="Times New Roman"/>
                <w:color w:val="222222"/>
                <w:sz w:val="28"/>
                <w:szCs w:val="28"/>
                <w:vertAlign w:val="superscript"/>
              </w:rPr>
              <w:t>_______</w:t>
            </w:r>
          </w:p>
          <w:p w:rsidR="000E1709" w:rsidRPr="000E1709" w:rsidRDefault="000E1709" w:rsidP="000E1709">
            <w:pPr>
              <w:spacing w:before="120" w:after="0" w:line="240" w:lineRule="auto"/>
              <w:jc w:val="center"/>
              <w:rPr>
                <w:rFonts w:ascii="Times New Roman" w:eastAsia="Times New Roman" w:hAnsi="Times New Roman" w:cs="Times New Roman"/>
                <w:color w:val="222222"/>
                <w:sz w:val="28"/>
                <w:szCs w:val="28"/>
              </w:rPr>
            </w:pPr>
            <w:r w:rsidRPr="000E1709">
              <w:rPr>
                <w:rFonts w:ascii="Times New Roman" w:eastAsia="Times New Roman" w:hAnsi="Times New Roman" w:cs="Times New Roman"/>
                <w:color w:val="222222"/>
                <w:sz w:val="28"/>
                <w:szCs w:val="28"/>
              </w:rPr>
              <w:t>Số: 12/2025/TT-BGDĐT</w:t>
            </w:r>
          </w:p>
        </w:tc>
        <w:tc>
          <w:tcPr>
            <w:tcW w:w="6016" w:type="dxa"/>
            <w:hideMark/>
          </w:tcPr>
          <w:p w:rsidR="000E1709" w:rsidRPr="000E1709" w:rsidRDefault="000E1709" w:rsidP="000E1709">
            <w:pPr>
              <w:spacing w:before="120" w:after="0" w:line="240" w:lineRule="auto"/>
              <w:ind w:left="571" w:hanging="571"/>
              <w:jc w:val="center"/>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CỘNG HÒA XÃ HỘI CHỦ NGHĨA VIỆT NAM</w:t>
            </w:r>
            <w:r w:rsidRPr="000E1709">
              <w:rPr>
                <w:rFonts w:ascii="Times New Roman" w:eastAsia="Times New Roman" w:hAnsi="Times New Roman" w:cs="Times New Roman"/>
                <w:b/>
                <w:bCs/>
                <w:color w:val="222222"/>
                <w:sz w:val="28"/>
                <w:szCs w:val="28"/>
              </w:rPr>
              <w:br/>
              <w:t>Độc lập - Tự do - Hạnh phúc</w:t>
            </w:r>
            <w:r w:rsidRPr="000E1709">
              <w:rPr>
                <w:rFonts w:ascii="Times New Roman" w:eastAsia="Times New Roman" w:hAnsi="Times New Roman" w:cs="Times New Roman"/>
                <w:color w:val="222222"/>
                <w:sz w:val="28"/>
                <w:szCs w:val="28"/>
              </w:rPr>
              <w:br/>
            </w:r>
            <w:r w:rsidRPr="000E1709">
              <w:rPr>
                <w:rFonts w:ascii="Times New Roman" w:eastAsia="Times New Roman" w:hAnsi="Times New Roman" w:cs="Times New Roman"/>
                <w:color w:val="222222"/>
                <w:sz w:val="28"/>
                <w:szCs w:val="28"/>
                <w:vertAlign w:val="superscript"/>
              </w:rPr>
              <w:t>______________________</w:t>
            </w:r>
          </w:p>
          <w:p w:rsidR="000E1709" w:rsidRPr="000E1709" w:rsidRDefault="000E1709" w:rsidP="000E1709">
            <w:pPr>
              <w:spacing w:before="120" w:after="0" w:line="240" w:lineRule="auto"/>
              <w:ind w:left="571" w:hanging="571"/>
              <w:jc w:val="center"/>
              <w:rPr>
                <w:rFonts w:ascii="Times New Roman" w:eastAsia="Times New Roman" w:hAnsi="Times New Roman" w:cs="Times New Roman"/>
                <w:color w:val="222222"/>
                <w:sz w:val="28"/>
                <w:szCs w:val="28"/>
              </w:rPr>
            </w:pPr>
            <w:r w:rsidRPr="000E1709">
              <w:rPr>
                <w:rFonts w:ascii="Times New Roman" w:eastAsia="Times New Roman" w:hAnsi="Times New Roman" w:cs="Times New Roman"/>
                <w:i/>
                <w:iCs/>
                <w:color w:val="222222"/>
                <w:sz w:val="28"/>
                <w:szCs w:val="28"/>
              </w:rPr>
              <w:t>Hà Nội, ngày 12 tháng 6 năm 2025</w:t>
            </w:r>
          </w:p>
        </w:tc>
      </w:tr>
    </w:tbl>
    <w:p w:rsidR="000E1709" w:rsidRPr="000E1709" w:rsidRDefault="000E1709" w:rsidP="000E1709">
      <w:pPr>
        <w:spacing w:before="120" w:after="0" w:line="240" w:lineRule="auto"/>
        <w:jc w:val="center"/>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THÔNG TƯ</w:t>
      </w:r>
    </w:p>
    <w:p w:rsidR="000E1709" w:rsidRPr="000E1709" w:rsidRDefault="000E1709" w:rsidP="000E1709">
      <w:pPr>
        <w:spacing w:before="120" w:after="0" w:line="240" w:lineRule="auto"/>
        <w:jc w:val="center"/>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Quy định về phân quyền, phân cấp và phân định thẩm quyền</w:t>
      </w:r>
      <w:r w:rsidRPr="000E1709">
        <w:rPr>
          <w:rFonts w:ascii="Times New Roman" w:eastAsia="Times New Roman" w:hAnsi="Times New Roman" w:cs="Times New Roman"/>
          <w:b/>
          <w:bCs/>
          <w:color w:val="222222"/>
          <w:sz w:val="28"/>
          <w:szCs w:val="28"/>
        </w:rPr>
        <w:br/>
        <w:t>thực hiện nhiệm vụ quản lý nhà nước của chính quyền địa phương hai cấp</w:t>
      </w:r>
      <w:r w:rsidRPr="000E1709">
        <w:rPr>
          <w:rFonts w:ascii="Times New Roman" w:eastAsia="Times New Roman" w:hAnsi="Times New Roman" w:cs="Times New Roman"/>
          <w:b/>
          <w:bCs/>
          <w:color w:val="222222"/>
          <w:sz w:val="28"/>
          <w:szCs w:val="28"/>
        </w:rPr>
        <w:br/>
        <w:t>đối với lĩnh vực nhà giáo và cán bộ quản lý cơ sở giáo dục</w:t>
      </w:r>
    </w:p>
    <w:p w:rsidR="000E1709" w:rsidRPr="000E1709" w:rsidRDefault="000E1709" w:rsidP="000E1709">
      <w:pPr>
        <w:spacing w:before="120"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vertAlign w:val="superscript"/>
        </w:rPr>
        <w:t xml:space="preserve">                                                                                                  </w:t>
      </w:r>
      <w:r w:rsidRPr="000E1709">
        <w:rPr>
          <w:rFonts w:ascii="Times New Roman" w:eastAsia="Times New Roman" w:hAnsi="Times New Roman" w:cs="Times New Roman"/>
          <w:color w:val="222222"/>
          <w:sz w:val="28"/>
          <w:szCs w:val="28"/>
          <w:vertAlign w:val="superscript"/>
        </w:rPr>
        <w:t>______________</w:t>
      </w:r>
    </w:p>
    <w:p w:rsidR="000E1709" w:rsidRPr="000E1709" w:rsidRDefault="000E1709" w:rsidP="000E1709">
      <w:pPr>
        <w:spacing w:before="120" w:after="0" w:line="240" w:lineRule="auto"/>
        <w:ind w:firstLine="720"/>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i/>
          <w:iCs/>
          <w:color w:val="222222"/>
          <w:sz w:val="28"/>
          <w:szCs w:val="28"/>
        </w:rPr>
        <w:t>Căn cứ Nghị quyết số </w:t>
      </w:r>
      <w:r w:rsidRPr="000E1709">
        <w:rPr>
          <w:rFonts w:ascii="Times New Roman" w:eastAsia="Times New Roman" w:hAnsi="Times New Roman" w:cs="Times New Roman"/>
          <w:i/>
          <w:iCs/>
          <w:color w:val="A67C52"/>
          <w:sz w:val="28"/>
          <w:szCs w:val="28"/>
        </w:rPr>
        <w:t>190/2025/QH15</w:t>
      </w:r>
      <w:r w:rsidRPr="000E1709">
        <w:rPr>
          <w:rFonts w:ascii="Times New Roman" w:eastAsia="Times New Roman" w:hAnsi="Times New Roman" w:cs="Times New Roman"/>
          <w:i/>
          <w:iCs/>
          <w:color w:val="222222"/>
          <w:sz w:val="28"/>
          <w:szCs w:val="28"/>
        </w:rPr>
        <w:t> ngày 19 tháng 02 năm 2025 của Quốc hội quy định về xử lý một số vấn đề liên quan đến sắp xếp tổ chức bộ máy nhà nước;</w:t>
      </w:r>
    </w:p>
    <w:p w:rsidR="000E1709" w:rsidRPr="000E1709" w:rsidRDefault="000E1709" w:rsidP="000E1709">
      <w:pPr>
        <w:spacing w:before="120" w:after="0" w:line="240" w:lineRule="auto"/>
        <w:ind w:firstLine="720"/>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i/>
          <w:iCs/>
          <w:color w:val="222222"/>
          <w:sz w:val="28"/>
          <w:szCs w:val="28"/>
        </w:rPr>
        <w:t>Căn cứ Nghị định số </w:t>
      </w:r>
      <w:r w:rsidRPr="000E1709">
        <w:rPr>
          <w:rFonts w:ascii="Times New Roman" w:eastAsia="Times New Roman" w:hAnsi="Times New Roman" w:cs="Times New Roman"/>
          <w:i/>
          <w:iCs/>
          <w:color w:val="A67C52"/>
          <w:sz w:val="28"/>
          <w:szCs w:val="28"/>
        </w:rPr>
        <w:t>37/2025/NĐ-CP</w:t>
      </w:r>
      <w:r w:rsidRPr="000E1709">
        <w:rPr>
          <w:rFonts w:ascii="Times New Roman" w:eastAsia="Times New Roman" w:hAnsi="Times New Roman" w:cs="Times New Roman"/>
          <w:i/>
          <w:iCs/>
          <w:color w:val="222222"/>
          <w:sz w:val="28"/>
          <w:szCs w:val="28"/>
        </w:rPr>
        <w:t> ngày 26 tháng 02 năm 2025 của Chính phủ quy định chức năng, nhiệm vụ, quyền hạn và cơ cấu tổ chức của Bộ Giáo dục và Đào tạo;</w:t>
      </w:r>
    </w:p>
    <w:p w:rsidR="000E1709" w:rsidRPr="000E1709" w:rsidRDefault="000E1709" w:rsidP="000E1709">
      <w:pPr>
        <w:spacing w:before="120" w:after="0" w:line="240" w:lineRule="auto"/>
        <w:ind w:firstLine="720"/>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i/>
          <w:iCs/>
          <w:color w:val="222222"/>
          <w:sz w:val="28"/>
          <w:szCs w:val="28"/>
        </w:rPr>
        <w:t>Căn cứ Nghị định số </w:t>
      </w:r>
      <w:r w:rsidRPr="000E1709">
        <w:rPr>
          <w:rFonts w:ascii="Times New Roman" w:eastAsia="Times New Roman" w:hAnsi="Times New Roman" w:cs="Times New Roman"/>
          <w:i/>
          <w:iCs/>
          <w:color w:val="A67C52"/>
          <w:sz w:val="28"/>
          <w:szCs w:val="28"/>
        </w:rPr>
        <w:t>142/2025/NĐ-CP</w:t>
      </w:r>
      <w:r w:rsidRPr="000E1709">
        <w:rPr>
          <w:rFonts w:ascii="Times New Roman" w:eastAsia="Times New Roman" w:hAnsi="Times New Roman" w:cs="Times New Roman"/>
          <w:i/>
          <w:iCs/>
          <w:color w:val="222222"/>
          <w:sz w:val="28"/>
          <w:szCs w:val="28"/>
        </w:rPr>
        <w:t> ngày 12 tháng 6 năm 2025 của Chính phủ quy định về phân định thẩm quyền của chính quyền địa phương hai cấp trong lĩnh vực quản lý nhà nước của Bộ Giáo dục và Đào tạo;</w:t>
      </w:r>
    </w:p>
    <w:p w:rsidR="000E1709" w:rsidRPr="000E1709" w:rsidRDefault="000E1709" w:rsidP="000E1709">
      <w:pPr>
        <w:spacing w:before="120" w:after="0" w:line="240" w:lineRule="auto"/>
        <w:ind w:firstLine="720"/>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i/>
          <w:iCs/>
          <w:color w:val="222222"/>
          <w:sz w:val="28"/>
          <w:szCs w:val="28"/>
        </w:rPr>
        <w:t>Căn cứ Nghị định số </w:t>
      </w:r>
      <w:r w:rsidRPr="000E1709">
        <w:rPr>
          <w:rFonts w:ascii="Times New Roman" w:eastAsia="Times New Roman" w:hAnsi="Times New Roman" w:cs="Times New Roman"/>
          <w:i/>
          <w:iCs/>
          <w:color w:val="A67C52"/>
          <w:sz w:val="28"/>
          <w:szCs w:val="28"/>
        </w:rPr>
        <w:t>143/2025/NĐ-CP</w:t>
      </w:r>
      <w:r w:rsidRPr="000E1709">
        <w:rPr>
          <w:rFonts w:ascii="Times New Roman" w:eastAsia="Times New Roman" w:hAnsi="Times New Roman" w:cs="Times New Roman"/>
          <w:i/>
          <w:iCs/>
          <w:color w:val="222222"/>
          <w:sz w:val="28"/>
          <w:szCs w:val="28"/>
        </w:rPr>
        <w:t> ngày 12 tháng 6 năm 2025 của Chính phủ quy định về phân quyền, phân cấp trong lĩnh vực quản lý nhà nước của Bộ Giáo dục và Đào tạo;</w:t>
      </w:r>
    </w:p>
    <w:p w:rsidR="000E1709" w:rsidRPr="000E1709" w:rsidRDefault="000E1709" w:rsidP="000E1709">
      <w:pPr>
        <w:spacing w:before="120" w:after="0" w:line="240" w:lineRule="auto"/>
        <w:ind w:firstLine="720"/>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i/>
          <w:iCs/>
          <w:color w:val="222222"/>
          <w:sz w:val="28"/>
          <w:szCs w:val="28"/>
        </w:rPr>
        <w:t>Theo đề nghị của Vụ trưởng Vụ Pháp chế;</w:t>
      </w:r>
    </w:p>
    <w:p w:rsidR="000E1709" w:rsidRPr="000E1709" w:rsidRDefault="000E1709" w:rsidP="000E1709">
      <w:pPr>
        <w:spacing w:before="120" w:after="0" w:line="240" w:lineRule="auto"/>
        <w:ind w:firstLine="720"/>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i/>
          <w:iCs/>
          <w:color w:val="222222"/>
          <w:sz w:val="28"/>
          <w:szCs w:val="28"/>
        </w:rPr>
        <w:t>Bộ trưởng Bộ Giáo dục và Đào tạo ban hành Thông tư quy định về phân quyền, phân cấp và phân định thẩm quyền thực hiện nhiệm vụ quản lý nhà nước của chính quyền địa phương hai cấp đối với lĩnh vực nhà giáo và cán bộ quản lý cơ sở giáo dục.</w:t>
      </w:r>
    </w:p>
    <w:p w:rsidR="000E1709" w:rsidRPr="000E1709" w:rsidRDefault="000E1709" w:rsidP="000E1709">
      <w:pPr>
        <w:spacing w:before="120" w:after="0" w:line="240" w:lineRule="auto"/>
        <w:jc w:val="center"/>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Chương I</w:t>
      </w:r>
      <w:r w:rsidRPr="000E1709">
        <w:rPr>
          <w:rFonts w:ascii="Times New Roman" w:eastAsia="Times New Roman" w:hAnsi="Times New Roman" w:cs="Times New Roman"/>
          <w:b/>
          <w:bCs/>
          <w:color w:val="2E2E2E"/>
          <w:sz w:val="28"/>
          <w:szCs w:val="28"/>
        </w:rPr>
        <w:br/>
        <w:t>QUY ĐỊNH CHUNG</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1. Phạm vi điều chỉnh, đối tượng áp dụng</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Thông tư này quy định về phân quyền, phân cấp và phân định thẩm quyền thực hiện nhiệm vụ quản lý nhà nước của chính quyền địa phương hai cấp đối với lĩnh vực nhà giáo và cán bộ quản lý cơ sở giáo dục được quy định trong các văn bản quy phạm pháp luật của Bộ trưởng Bộ Giáo dục và Đào tạo.</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Thông tư này áp dụng đối với các cơ quan hành chính nhà nước ở trung ương, chính quyền địa phương, cơ sở giáo dục và các tổ chức, cá nhân khác có liên quan.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2. Nguyên tắc phân quyền, phân cấp và phân định thẩm quyền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Bảo đảm phù hợp với quy định của </w:t>
      </w:r>
      <w:r w:rsidRPr="000E1709">
        <w:rPr>
          <w:rFonts w:ascii="Times New Roman" w:eastAsia="Times New Roman" w:hAnsi="Times New Roman" w:cs="Times New Roman"/>
          <w:color w:val="A67C52"/>
          <w:sz w:val="28"/>
          <w:szCs w:val="28"/>
        </w:rPr>
        <w:t>Hiến pháp</w:t>
      </w:r>
      <w:r w:rsidRPr="000E1709">
        <w:rPr>
          <w:rFonts w:ascii="Times New Roman" w:eastAsia="Times New Roman" w:hAnsi="Times New Roman" w:cs="Times New Roman"/>
          <w:color w:val="2E2E2E"/>
          <w:sz w:val="28"/>
          <w:szCs w:val="28"/>
        </w:rPr>
        <w:t>; phù hợp với các nguyên tắc, quy định về phân quyền, phân cấp, phân định thẩm quyền của </w:t>
      </w:r>
      <w:r w:rsidRPr="000E1709">
        <w:rPr>
          <w:rFonts w:ascii="Times New Roman" w:eastAsia="Times New Roman" w:hAnsi="Times New Roman" w:cs="Times New Roman"/>
          <w:color w:val="A67C52"/>
          <w:sz w:val="28"/>
          <w:szCs w:val="28"/>
        </w:rPr>
        <w:t xml:space="preserve">Luật Tổ chức Chính </w:t>
      </w:r>
      <w:r w:rsidRPr="000E1709">
        <w:rPr>
          <w:rFonts w:ascii="Times New Roman" w:eastAsia="Times New Roman" w:hAnsi="Times New Roman" w:cs="Times New Roman"/>
          <w:color w:val="A67C52"/>
          <w:sz w:val="28"/>
          <w:szCs w:val="28"/>
        </w:rPr>
        <w:lastRenderedPageBreak/>
        <w:t>phủ</w:t>
      </w:r>
      <w:r w:rsidRPr="000E1709">
        <w:rPr>
          <w:rFonts w:ascii="Times New Roman" w:eastAsia="Times New Roman" w:hAnsi="Times New Roman" w:cs="Times New Roman"/>
          <w:color w:val="2E2E2E"/>
          <w:sz w:val="28"/>
          <w:szCs w:val="28"/>
        </w:rPr>
        <w:t>, </w:t>
      </w:r>
      <w:r w:rsidRPr="000E1709">
        <w:rPr>
          <w:rFonts w:ascii="Times New Roman" w:eastAsia="Times New Roman" w:hAnsi="Times New Roman" w:cs="Times New Roman"/>
          <w:color w:val="A67C52"/>
          <w:sz w:val="28"/>
          <w:szCs w:val="28"/>
        </w:rPr>
        <w:t>Luật Tổ chức chính quyền địa phương</w:t>
      </w:r>
      <w:r w:rsidRPr="000E1709">
        <w:rPr>
          <w:rFonts w:ascii="Times New Roman" w:eastAsia="Times New Roman" w:hAnsi="Times New Roman" w:cs="Times New Roman"/>
          <w:color w:val="2E2E2E"/>
          <w:sz w:val="28"/>
          <w:szCs w:val="28"/>
        </w:rPr>
        <w:t> và các Nghị định của Chính phủ về phân quyền, phân cấp và phân định thẩm quyền trong lĩnh vực giáo dục.</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Bảo đảm phân quyền, phân cấp, phân định nhiệm vụ, quyền hạn giữa các cấp chính quyền địa phương phù hợp với nhiệm vụ, quyền hạn và năng lực của cơ quan, người có thẩm quyền thực hiện nhiệm vụ, quyền hạn; không trùng lặp, chồng chéo, bỏ sót chức năng, nhiệm vụ giữa chính quyền địa phương các cấp và giữa các cơ quan, tổ chức thuộc chính quyền địa phương trong thực hiện nhiệm vụ quản lý nhà nước đối với nhà giáo và cán bộ quản lý cơ sở giáo dục.</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3. Bảo đảm không ảnh hưởng đến việc thực hiện các điều ước quốc tế, thỏa thuận quốc tế về lĩnh vực giáo dục mà nước Cộng hòa xã hội chủ nghĩa Việt Nam là thành viên.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4. Nguồn lực thực hiện nhiệm vụ phân định thẩm quyền do ngân sách nhà nước bảo đảm theo quy định.</w:t>
      </w:r>
    </w:p>
    <w:p w:rsid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3. Về phí, lệ phí</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rsidR="000E1709" w:rsidRPr="000E1709" w:rsidRDefault="000E1709" w:rsidP="000E1709">
      <w:pPr>
        <w:spacing w:before="120" w:after="0" w:line="240" w:lineRule="auto"/>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4. Nguyên tắc khai thác, sử dụng dữ liệu điện tử</w:t>
      </w:r>
      <w:r w:rsidRPr="000E1709">
        <w:rPr>
          <w:rFonts w:ascii="Times New Roman" w:eastAsia="Times New Roman" w:hAnsi="Times New Roman" w:cs="Times New Roman"/>
          <w:color w:val="2E2E2E"/>
          <w:sz w:val="28"/>
          <w:szCs w:val="28"/>
        </w:rPr>
        <w:br/>
        <w:t>Cơ quan thực hiện thủ tục hành chính có trách nhiệm khai thác dữ liệu điện tử đã có trong Cơ sở dữ liệu quốc gia về dân cư, các cơ sở dữ liệu chuyên ngành khác để bổ sung thông tin vào hồ sơ của cá nhân, tổ chức thực hiện thủ tục hành chính trên môi trường điện tử, không yêu cầu cá nhân, tổ chức nộp, xuất trình giấy tờ, tài liệu mà thông tin đã được khai thác trong các cơ sở dữ liệu; trừ trường hợp sử dụng cho mục đích xác minh, thẩm tra lại tính xác thực của thông tin, giấy tờ, tài liệu đã được số hóa.</w:t>
      </w:r>
    </w:p>
    <w:p w:rsidR="000E1709" w:rsidRPr="000E1709" w:rsidRDefault="000E1709" w:rsidP="000E1709">
      <w:pPr>
        <w:spacing w:before="120" w:after="0" w:line="240" w:lineRule="auto"/>
        <w:jc w:val="center"/>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Chương II</w:t>
      </w:r>
      <w:r w:rsidRPr="000E1709">
        <w:rPr>
          <w:rFonts w:ascii="Times New Roman" w:eastAsia="Times New Roman" w:hAnsi="Times New Roman" w:cs="Times New Roman"/>
          <w:b/>
          <w:bCs/>
          <w:color w:val="2E2E2E"/>
          <w:sz w:val="28"/>
          <w:szCs w:val="28"/>
        </w:rPr>
        <w:br/>
        <w:t>PHÂN QUYỀN, PHÂN CẤP VÀ PHÂN ĐỊNH THẨM QUYỀN THỰC HIỆN NHIỆM VỤ, QUYỀN HẠN ĐỐI VỚI LĨNH VỰC NHÀ GIÁO VÀ CÁN BỘ QUẢN LÝ CƠ SỞ GIÁO DỤC</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5. Tổ chức thực hiện quy định về chuẩn hiệu trưởng cơ sở giáo dục phổ thông</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Thẩm quyền đánh giá hiệu trưởng theo chuẩn hiệu trưởng cơ sở giáo dục phổ thông quy định tại điểm a khoản 2 Điều 11; lựa chọn và phê duyệt danh sách cán bộ quản lý cơ sở giáo dục phổ thông cốt cán quy định tại điểm a khoản 2 Điều 12 Quy định chuẩn hiệu trưởng cơ sở giáo dục phổ thông ban hành kèm theo Thông tư số </w:t>
      </w:r>
      <w:r w:rsidRPr="000E1709">
        <w:rPr>
          <w:rFonts w:ascii="Times New Roman" w:eastAsia="Times New Roman" w:hAnsi="Times New Roman" w:cs="Times New Roman"/>
          <w:color w:val="A67C52"/>
          <w:sz w:val="28"/>
          <w:szCs w:val="28"/>
        </w:rPr>
        <w:t>14/2018/TT-BGDĐT</w:t>
      </w:r>
      <w:r w:rsidRPr="000E1709">
        <w:rPr>
          <w:rFonts w:ascii="Times New Roman" w:eastAsia="Times New Roman" w:hAnsi="Times New Roman" w:cs="Times New Roman"/>
          <w:color w:val="2E2E2E"/>
          <w:sz w:val="28"/>
          <w:szCs w:val="28"/>
        </w:rPr>
        <w:t> ngày 20 tháng 7 năm 2018 của Bộ trưởng Bộ Giáo dục và Đào tạo (sau đây gọi là Thông tư số </w:t>
      </w:r>
      <w:r w:rsidRPr="000E1709">
        <w:rPr>
          <w:rFonts w:ascii="Times New Roman" w:eastAsia="Times New Roman" w:hAnsi="Times New Roman" w:cs="Times New Roman"/>
          <w:color w:val="A67C52"/>
          <w:sz w:val="28"/>
          <w:szCs w:val="28"/>
        </w:rPr>
        <w:t>14/2018/TT-BGDĐT</w:t>
      </w:r>
      <w:r w:rsidRPr="000E1709">
        <w:rPr>
          <w:rFonts w:ascii="Times New Roman" w:eastAsia="Times New Roman" w:hAnsi="Times New Roman" w:cs="Times New Roman"/>
          <w:color w:val="2E2E2E"/>
          <w:sz w:val="28"/>
          <w:szCs w:val="28"/>
        </w:rPr>
        <w:t>) do Sở Giáo dục và Đào tạo thực hiện.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Bãi bỏ Điều 15 Thông tư số </w:t>
      </w:r>
      <w:r w:rsidRPr="000E1709">
        <w:rPr>
          <w:rFonts w:ascii="Times New Roman" w:eastAsia="Times New Roman" w:hAnsi="Times New Roman" w:cs="Times New Roman"/>
          <w:color w:val="A67C52"/>
          <w:sz w:val="28"/>
          <w:szCs w:val="28"/>
        </w:rPr>
        <w:t>14/2018/TT-BGDĐT</w:t>
      </w:r>
      <w:r w:rsidRPr="000E1709">
        <w:rPr>
          <w:rFonts w:ascii="Times New Roman" w:eastAsia="Times New Roman" w:hAnsi="Times New Roman" w:cs="Times New Roman"/>
          <w:color w:val="2E2E2E"/>
          <w:sz w:val="28"/>
          <w:szCs w:val="28"/>
        </w:rPr>
        <w:t>.</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lastRenderedPageBreak/>
        <w:t>Điều 6. Tổ chức thực hiện quy định về chuẩn nghề nghiệp giáo viên cơ sở giáo dục phổ thông</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Thẩm quyền lựa chọn, phê duyệt giáo viên cơ sở giáo dục phổ thông cốt cán quy định tại điểm b khoản 2 Điều 12 Quy định chuẩn nghề nghiệp giáo viên cơ sở giáo dục phổ thông ban hành kèm theo Thông tư số </w:t>
      </w:r>
      <w:r w:rsidRPr="000E1709">
        <w:rPr>
          <w:rFonts w:ascii="Times New Roman" w:eastAsia="Times New Roman" w:hAnsi="Times New Roman" w:cs="Times New Roman"/>
          <w:color w:val="A67C52"/>
          <w:sz w:val="28"/>
          <w:szCs w:val="28"/>
        </w:rPr>
        <w:t>20/2018/TT-BGDĐT</w:t>
      </w:r>
      <w:r w:rsidRPr="000E1709">
        <w:rPr>
          <w:rFonts w:ascii="Times New Roman" w:eastAsia="Times New Roman" w:hAnsi="Times New Roman" w:cs="Times New Roman"/>
          <w:color w:val="2E2E2E"/>
          <w:sz w:val="28"/>
          <w:szCs w:val="28"/>
        </w:rPr>
        <w:t> ngày 22 tháng 8 năm 2018 của Bộ trưởng Bộ Giáo dục và Đào tạo (sau đây gọi là Thông tư số </w:t>
      </w:r>
      <w:r w:rsidRPr="000E1709">
        <w:rPr>
          <w:rFonts w:ascii="Times New Roman" w:eastAsia="Times New Roman" w:hAnsi="Times New Roman" w:cs="Times New Roman"/>
          <w:color w:val="A67C52"/>
          <w:sz w:val="28"/>
          <w:szCs w:val="28"/>
        </w:rPr>
        <w:t>20/2018/TT-BGDĐT</w:t>
      </w:r>
      <w:r w:rsidRPr="000E1709">
        <w:rPr>
          <w:rFonts w:ascii="Times New Roman" w:eastAsia="Times New Roman" w:hAnsi="Times New Roman" w:cs="Times New Roman"/>
          <w:color w:val="2E2E2E"/>
          <w:sz w:val="28"/>
          <w:szCs w:val="28"/>
        </w:rPr>
        <w:t>) do Sở Giáo dục và Đào tạo thực hiện.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Bãi bỏ Điều 15 Thông tư số </w:t>
      </w:r>
      <w:r w:rsidRPr="000E1709">
        <w:rPr>
          <w:rFonts w:ascii="Times New Roman" w:eastAsia="Times New Roman" w:hAnsi="Times New Roman" w:cs="Times New Roman"/>
          <w:color w:val="A67C52"/>
          <w:sz w:val="28"/>
          <w:szCs w:val="28"/>
        </w:rPr>
        <w:t>20/2018/TT-BGDĐT</w:t>
      </w:r>
      <w:r w:rsidRPr="000E1709">
        <w:rPr>
          <w:rFonts w:ascii="Times New Roman" w:eastAsia="Times New Roman" w:hAnsi="Times New Roman" w:cs="Times New Roman"/>
          <w:color w:val="2E2E2E"/>
          <w:sz w:val="28"/>
          <w:szCs w:val="28"/>
        </w:rPr>
        <w:t>.</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7. Tổ chức thực hiện quy định về chuẩn hiệu trưởng cơ sở giáo dục mầm non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Thẩm quyền đánh giá hiệu trưởng cơ sở giáo dục mầm non quy định tại điểm a khoản 2 Điều 11; lựa chọn và phê duyệt danh sách cán bộ quản lý cơ sở giáo dục mầm non cốt cán quy định tại điểm a khoản 2 Điều 12 Quy định chuẩn hiệu trưởng cơ sở giáo dục mầm non ban hành kèm theo Thông tư số </w:t>
      </w:r>
      <w:r w:rsidRPr="000E1709">
        <w:rPr>
          <w:rFonts w:ascii="Times New Roman" w:eastAsia="Times New Roman" w:hAnsi="Times New Roman" w:cs="Times New Roman"/>
          <w:color w:val="A67C52"/>
          <w:sz w:val="28"/>
          <w:szCs w:val="28"/>
        </w:rPr>
        <w:t>25/2018/TT-BGDĐT</w:t>
      </w:r>
      <w:r w:rsidRPr="000E1709">
        <w:rPr>
          <w:rFonts w:ascii="Times New Roman" w:eastAsia="Times New Roman" w:hAnsi="Times New Roman" w:cs="Times New Roman"/>
          <w:color w:val="2E2E2E"/>
          <w:sz w:val="28"/>
          <w:szCs w:val="28"/>
        </w:rPr>
        <w:t> ngày 08 tháng 10 năm 2018 của Bộ trưởng Bộ Giáo dục và Đào tạo (sau đây gọi là Thông tư số </w:t>
      </w:r>
      <w:r w:rsidRPr="000E1709">
        <w:rPr>
          <w:rFonts w:ascii="Times New Roman" w:eastAsia="Times New Roman" w:hAnsi="Times New Roman" w:cs="Times New Roman"/>
          <w:color w:val="A67C52"/>
          <w:sz w:val="28"/>
          <w:szCs w:val="28"/>
        </w:rPr>
        <w:t>25/2018/TT-BGDĐT</w:t>
      </w:r>
      <w:r w:rsidRPr="000E1709">
        <w:rPr>
          <w:rFonts w:ascii="Times New Roman" w:eastAsia="Times New Roman" w:hAnsi="Times New Roman" w:cs="Times New Roman"/>
          <w:color w:val="2E2E2E"/>
          <w:sz w:val="28"/>
          <w:szCs w:val="28"/>
        </w:rPr>
        <w:t>) do Sở Giáo dục và Đào tạo thực hiện.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Bãi bỏ Điều 15 Thông tư số </w:t>
      </w:r>
      <w:r w:rsidRPr="000E1709">
        <w:rPr>
          <w:rFonts w:ascii="Times New Roman" w:eastAsia="Times New Roman" w:hAnsi="Times New Roman" w:cs="Times New Roman"/>
          <w:color w:val="A67C52"/>
          <w:sz w:val="28"/>
          <w:szCs w:val="28"/>
        </w:rPr>
        <w:t>25/2018/TT-BGDĐT</w:t>
      </w:r>
      <w:r w:rsidRPr="000E1709">
        <w:rPr>
          <w:rFonts w:ascii="Times New Roman" w:eastAsia="Times New Roman" w:hAnsi="Times New Roman" w:cs="Times New Roman"/>
          <w:color w:val="2E2E2E"/>
          <w:sz w:val="28"/>
          <w:szCs w:val="28"/>
        </w:rPr>
        <w:t>.</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8. Tổ chức thực hiện quy định về chuẩn nghề nghiệp giáo viên mầm non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Thẩm quyền lựa chọn giáo viên mầm non cốt cán quy định tại điểm b khoản 2 Điều 12 Quy định chuẩn nghề nghiệp giáo viên mầm non ban hành kèm theo Thông tư số </w:t>
      </w:r>
      <w:r w:rsidRPr="000E1709">
        <w:rPr>
          <w:rFonts w:ascii="Times New Roman" w:eastAsia="Times New Roman" w:hAnsi="Times New Roman" w:cs="Times New Roman"/>
          <w:color w:val="A67C52"/>
          <w:sz w:val="28"/>
          <w:szCs w:val="28"/>
        </w:rPr>
        <w:t>26/2018/TT-BGDĐT</w:t>
      </w:r>
      <w:r w:rsidRPr="000E1709">
        <w:rPr>
          <w:rFonts w:ascii="Times New Roman" w:eastAsia="Times New Roman" w:hAnsi="Times New Roman" w:cs="Times New Roman"/>
          <w:color w:val="2E2E2E"/>
          <w:sz w:val="28"/>
          <w:szCs w:val="28"/>
        </w:rPr>
        <w:t> ngày 08 tháng 10 năm 2018 của Bộ trưởng Bộ Giáo dục và Đào tạo (sau đây gọi là Thông tư số </w:t>
      </w:r>
      <w:r w:rsidRPr="000E1709">
        <w:rPr>
          <w:rFonts w:ascii="Times New Roman" w:eastAsia="Times New Roman" w:hAnsi="Times New Roman" w:cs="Times New Roman"/>
          <w:color w:val="A67C52"/>
          <w:sz w:val="28"/>
          <w:szCs w:val="28"/>
        </w:rPr>
        <w:t>26/2018/TT-BGDĐT</w:t>
      </w:r>
      <w:r w:rsidRPr="000E1709">
        <w:rPr>
          <w:rFonts w:ascii="Times New Roman" w:eastAsia="Times New Roman" w:hAnsi="Times New Roman" w:cs="Times New Roman"/>
          <w:color w:val="2E2E2E"/>
          <w:sz w:val="28"/>
          <w:szCs w:val="28"/>
        </w:rPr>
        <w:t>) do Sở Giáo dục và Đào tạo thực hiện.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Bãi bỏ Điều 15 Thông tư số </w:t>
      </w:r>
      <w:r w:rsidRPr="000E1709">
        <w:rPr>
          <w:rFonts w:ascii="Times New Roman" w:eastAsia="Times New Roman" w:hAnsi="Times New Roman" w:cs="Times New Roman"/>
          <w:color w:val="A67C52"/>
          <w:sz w:val="28"/>
          <w:szCs w:val="28"/>
        </w:rPr>
        <w:t>26/2018/TT-BGDĐT</w:t>
      </w:r>
      <w:r w:rsidRPr="000E1709">
        <w:rPr>
          <w:rFonts w:ascii="Times New Roman" w:eastAsia="Times New Roman" w:hAnsi="Times New Roman" w:cs="Times New Roman"/>
          <w:color w:val="2E2E2E"/>
          <w:sz w:val="28"/>
          <w:szCs w:val="28"/>
        </w:rPr>
        <w:t>.</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9. Thẩm quyền tổ chức Hội thi giáo viên dạy giỏi</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Thẩm quyền tổ chức hội thi giáo viên dạy giỏi, giáo viên chủ nhiệm lớp giỏi quy định tại điểm b khoản 1 Điều 3 Quy định về Hội thi giáo viên dạy giỏi cơ sở giáo dục mầm non, giáo viên dạy giỏi cơ sở giáo dục phổ thông ban hành kèm theo Thông tư số </w:t>
      </w:r>
      <w:r w:rsidRPr="000E1709">
        <w:rPr>
          <w:rFonts w:ascii="Times New Roman" w:eastAsia="Times New Roman" w:hAnsi="Times New Roman" w:cs="Times New Roman"/>
          <w:color w:val="A67C52"/>
          <w:sz w:val="28"/>
          <w:szCs w:val="28"/>
        </w:rPr>
        <w:t>22/2019/TT-BGDĐT</w:t>
      </w:r>
      <w:r w:rsidRPr="000E1709">
        <w:rPr>
          <w:rFonts w:ascii="Times New Roman" w:eastAsia="Times New Roman" w:hAnsi="Times New Roman" w:cs="Times New Roman"/>
          <w:color w:val="2E2E2E"/>
          <w:sz w:val="28"/>
          <w:szCs w:val="28"/>
        </w:rPr>
        <w:t> ngày 20 tháng 02 năm 2019 của Bộ trưởng Bộ Giáo dục và Đào tạo (sau đây gọi là Thông tư số </w:t>
      </w:r>
      <w:r w:rsidRPr="000E1709">
        <w:rPr>
          <w:rFonts w:ascii="Times New Roman" w:eastAsia="Times New Roman" w:hAnsi="Times New Roman" w:cs="Times New Roman"/>
          <w:color w:val="A67C52"/>
          <w:sz w:val="28"/>
          <w:szCs w:val="28"/>
        </w:rPr>
        <w:t>22/2019/TT-BGDĐT</w:t>
      </w:r>
      <w:r w:rsidRPr="000E1709">
        <w:rPr>
          <w:rFonts w:ascii="Times New Roman" w:eastAsia="Times New Roman" w:hAnsi="Times New Roman" w:cs="Times New Roman"/>
          <w:color w:val="2E2E2E"/>
          <w:sz w:val="28"/>
          <w:szCs w:val="28"/>
        </w:rPr>
        <w:t>) do Ủy ban nhân dân cấp xã thực hiện.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Thay thế cụm từ “Trưởng phòng Giáo dục và Đào tạo” bằng cụm từ “Chủ tịch Ủy ban nhân dân cấp xã”; cụm từ “Phòng Giáo dục và Đào tạo” bằng cụm từ “Ủy ban nhân dân cấp xã”; cụm từ “cấp huyện” bằng cụm từ “cấp xã” tại Thông tư số </w:t>
      </w:r>
      <w:r w:rsidRPr="000E1709">
        <w:rPr>
          <w:rFonts w:ascii="Times New Roman" w:eastAsia="Times New Roman" w:hAnsi="Times New Roman" w:cs="Times New Roman"/>
          <w:color w:val="A67C52"/>
          <w:sz w:val="28"/>
          <w:szCs w:val="28"/>
        </w:rPr>
        <w:t>22/2019/TT-BGDĐT</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10. Thẩm quyền tổ chức Hội thi giáo viên làm tổng phụ trách Đội thiếu niên Tiền phong Hồ Chí Minh giỏi</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Thẩm quyền tổ chức Hội thi giáo viên làm tổng phụ trách Đội thiếu niên Tiền phong Hồ Chí Minh giỏi quy định tại Điều 8 Điều lệ hội thi giáo viên làm tổng phụ trách Đội thiếu niên Tiền phong Hồ Chí Minh giỏi ban hành kèm theo Thông tư số </w:t>
      </w:r>
      <w:r w:rsidRPr="000E1709">
        <w:rPr>
          <w:rFonts w:ascii="Times New Roman" w:eastAsia="Times New Roman" w:hAnsi="Times New Roman" w:cs="Times New Roman"/>
          <w:color w:val="A67C52"/>
          <w:sz w:val="28"/>
          <w:szCs w:val="28"/>
        </w:rPr>
        <w:t>52/2012/TT-BGDĐT</w:t>
      </w:r>
      <w:r w:rsidRPr="000E1709">
        <w:rPr>
          <w:rFonts w:ascii="Times New Roman" w:eastAsia="Times New Roman" w:hAnsi="Times New Roman" w:cs="Times New Roman"/>
          <w:color w:val="2E2E2E"/>
          <w:sz w:val="28"/>
          <w:szCs w:val="28"/>
        </w:rPr>
        <w:t xml:space="preserve"> ngày 19 tháng 12 năm 2012 của Bộ trưởng Bộ Giáo dục </w:t>
      </w:r>
      <w:r w:rsidRPr="000E1709">
        <w:rPr>
          <w:rFonts w:ascii="Times New Roman" w:eastAsia="Times New Roman" w:hAnsi="Times New Roman" w:cs="Times New Roman"/>
          <w:color w:val="2E2E2E"/>
          <w:sz w:val="28"/>
          <w:szCs w:val="28"/>
        </w:rPr>
        <w:lastRenderedPageBreak/>
        <w:t>và Đào tạo (sau đây gọi là Thông tư số </w:t>
      </w:r>
      <w:r w:rsidRPr="000E1709">
        <w:rPr>
          <w:rFonts w:ascii="Times New Roman" w:eastAsia="Times New Roman" w:hAnsi="Times New Roman" w:cs="Times New Roman"/>
          <w:color w:val="A67C52"/>
          <w:sz w:val="28"/>
          <w:szCs w:val="28"/>
        </w:rPr>
        <w:t>52/2012/TT-BGDĐT</w:t>
      </w:r>
      <w:r w:rsidRPr="000E1709">
        <w:rPr>
          <w:rFonts w:ascii="Times New Roman" w:eastAsia="Times New Roman" w:hAnsi="Times New Roman" w:cs="Times New Roman"/>
          <w:color w:val="2E2E2E"/>
          <w:sz w:val="28"/>
          <w:szCs w:val="28"/>
        </w:rPr>
        <w:t>) do Ủy ban nhân dân cấp xã thực hiện.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Thay thế cụm từ “Trưởng phòng Giáo dục và Đào tạo” bằng cụm từ “Chủ tịch Ủy ban nhân dân cấp xã”; cụm từ: “Phòng Giáo dục và Đào tạo” bằng cụm từ “Ủy ban nhân dân cấp xã”; cụm từ “cấp huyện” bằng cụm từ “cấp xã” tại Thông tư số </w:t>
      </w:r>
      <w:r w:rsidRPr="000E1709">
        <w:rPr>
          <w:rFonts w:ascii="Times New Roman" w:eastAsia="Times New Roman" w:hAnsi="Times New Roman" w:cs="Times New Roman"/>
          <w:color w:val="A67C52"/>
          <w:sz w:val="28"/>
          <w:szCs w:val="28"/>
        </w:rPr>
        <w:t>52/2012/TT-BGDĐT</w:t>
      </w:r>
      <w:r w:rsidRPr="000E1709">
        <w:rPr>
          <w:rFonts w:ascii="Times New Roman" w:eastAsia="Times New Roman" w:hAnsi="Times New Roman" w:cs="Times New Roman"/>
          <w:color w:val="2E2E2E"/>
          <w:sz w:val="28"/>
          <w:szCs w:val="28"/>
        </w:rPr>
        <w:t> và Mẫu 1a ban hành kèm theo Thông tư số </w:t>
      </w:r>
      <w:r w:rsidRPr="000E1709">
        <w:rPr>
          <w:rFonts w:ascii="Times New Roman" w:eastAsia="Times New Roman" w:hAnsi="Times New Roman" w:cs="Times New Roman"/>
          <w:color w:val="A67C52"/>
          <w:sz w:val="28"/>
          <w:szCs w:val="28"/>
        </w:rPr>
        <w:t>52/2012/TT-BGDĐT</w:t>
      </w:r>
      <w:r w:rsidRPr="000E1709">
        <w:rPr>
          <w:rFonts w:ascii="Times New Roman" w:eastAsia="Times New Roman" w:hAnsi="Times New Roman" w:cs="Times New Roman"/>
          <w:color w:val="2E2E2E"/>
          <w:sz w:val="28"/>
          <w:szCs w:val="28"/>
        </w:rPr>
        <w:t>; thay thế cụm từ “UBND Quận/Huyện/Thị xã/Thành phố... Phòng Giáo dục và Đào tạo” bằng cụm từ “Ủy ban nhân dân cấp xã” và cụm từ “Trưởng phòng” bằng cụm từ “Chủ tịch” tại Mẫu 1a ban hành kèm theo Thông tư số </w:t>
      </w:r>
      <w:r w:rsidRPr="000E1709">
        <w:rPr>
          <w:rFonts w:ascii="Times New Roman" w:eastAsia="Times New Roman" w:hAnsi="Times New Roman" w:cs="Times New Roman"/>
          <w:color w:val="A67C52"/>
          <w:sz w:val="28"/>
          <w:szCs w:val="28"/>
        </w:rPr>
        <w:t>52/2012/TT-BGDĐT</w:t>
      </w:r>
      <w:r w:rsidRPr="000E1709">
        <w:rPr>
          <w:rFonts w:ascii="Times New Roman" w:eastAsia="Times New Roman" w:hAnsi="Times New Roman" w:cs="Times New Roman"/>
          <w:color w:val="2E2E2E"/>
          <w:sz w:val="28"/>
          <w:szCs w:val="28"/>
        </w:rPr>
        <w:t>.</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11. Thay thế, bãi bỏ một số cụm từ, điểm, khoản, điều trong một số văn bản quy phạm pháp luật của Bộ trưởng Bộ Giáo dục và Đào tạo đối với lĩnh vực nhà giáo và cán bộ quản lý cơ sở giáo dục</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Thay thế các cụm từ: “Ủy ban nhân dân cấp huyện”, “Phòng Giáo dục và Đào tạo” bằng cụm từ “Ủy ban nhân dân cấp xã” tại Điều 6, Điều 7 Thông tư số </w:t>
      </w:r>
      <w:r w:rsidRPr="000E1709">
        <w:rPr>
          <w:rFonts w:ascii="Times New Roman" w:eastAsia="Times New Roman" w:hAnsi="Times New Roman" w:cs="Times New Roman"/>
          <w:color w:val="A67C52"/>
          <w:sz w:val="28"/>
          <w:szCs w:val="28"/>
        </w:rPr>
        <w:t>48/2011/TT-BGDĐT</w:t>
      </w:r>
      <w:r w:rsidRPr="000E1709">
        <w:rPr>
          <w:rFonts w:ascii="Times New Roman" w:eastAsia="Times New Roman" w:hAnsi="Times New Roman" w:cs="Times New Roman"/>
          <w:color w:val="2E2E2E"/>
          <w:sz w:val="28"/>
          <w:szCs w:val="28"/>
        </w:rPr>
        <w:t> ngày 25 tháng 10 năm 2011 của Bộ trưởng Bộ Giáo dục và Đào tạo quy định chế độ làm việc đối với giáo viên mầm non.</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2. Bãi bỏ một số cụm từ, điểm, khoản, điều tại Thông tư số </w:t>
      </w:r>
      <w:r w:rsidRPr="000E1709">
        <w:rPr>
          <w:rFonts w:ascii="Times New Roman" w:eastAsia="Times New Roman" w:hAnsi="Times New Roman" w:cs="Times New Roman"/>
          <w:color w:val="A67C52"/>
          <w:sz w:val="28"/>
          <w:szCs w:val="28"/>
        </w:rPr>
        <w:t>19/2019/TT-BGDĐT</w:t>
      </w:r>
      <w:r w:rsidRPr="000E1709">
        <w:rPr>
          <w:rFonts w:ascii="Times New Roman" w:eastAsia="Times New Roman" w:hAnsi="Times New Roman" w:cs="Times New Roman"/>
          <w:color w:val="2E2E2E"/>
          <w:sz w:val="28"/>
          <w:szCs w:val="28"/>
        </w:rPr>
        <w:t> ban hành Quy chế bồi dưỡng thường xuyên giáo viên, cán bộ quản lý cơ sở giáo dục mầm non, cơ sở giáo dục phổ thông và giáo viên trung tâm giáo dục thường xuyên như sau:</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a) Bỏ cụm từ “Phòng Giáo dục và Đào tạo” tại Thông tư số </w:t>
      </w:r>
      <w:r w:rsidRPr="000E1709">
        <w:rPr>
          <w:rFonts w:ascii="Times New Roman" w:eastAsia="Times New Roman" w:hAnsi="Times New Roman" w:cs="Times New Roman"/>
          <w:color w:val="A67C52"/>
          <w:sz w:val="28"/>
          <w:szCs w:val="28"/>
        </w:rPr>
        <w:t>19/2019/TT-BGDĐT</w:t>
      </w:r>
      <w:r w:rsidRPr="000E1709">
        <w:rPr>
          <w:rFonts w:ascii="Times New Roman" w:eastAsia="Times New Roman" w:hAnsi="Times New Roman" w:cs="Times New Roman"/>
          <w:color w:val="2E2E2E"/>
          <w:sz w:val="28"/>
          <w:szCs w:val="28"/>
        </w:rPr>
        <w:t>;</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b) Bãi bỏ điểm c khoản 3 Điều 8, Điều 16.</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3. Thay thế, bãi bỏ một số cụm từ, khoản tại Thông tư số </w:t>
      </w:r>
      <w:r w:rsidRPr="000E1709">
        <w:rPr>
          <w:rFonts w:ascii="Times New Roman" w:eastAsia="Times New Roman" w:hAnsi="Times New Roman" w:cs="Times New Roman"/>
          <w:color w:val="A67C52"/>
          <w:sz w:val="28"/>
          <w:szCs w:val="28"/>
        </w:rPr>
        <w:t>24/2020/TT-BGDĐT</w:t>
      </w:r>
      <w:r w:rsidRPr="000E1709">
        <w:rPr>
          <w:rFonts w:ascii="Times New Roman" w:eastAsia="Times New Roman" w:hAnsi="Times New Roman" w:cs="Times New Roman"/>
          <w:color w:val="2E2E2E"/>
          <w:sz w:val="28"/>
          <w:szCs w:val="28"/>
        </w:rPr>
        <w:t> ngày 25 tháng 8 năm 2020 của Bộ trưởng Bộ Giáo dục và Đào tạo quy định việc sử dụng giáo viên, cán bộ quản lý giáo dục trong các cơ sở giáo dục mầm non, tiểu học, trung học cơ sở chưa đáp ứng trình độ chuẩn được đào tạo như sau:</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a) Thay thế các cụm từ: “Phòng Giáo dục và Đào tạo” tại Điều 5 và “Ủy ban nhân dân cấp huyện” tại Điều 6 bằng cụm từ “Ủy ban nhân dân cấp xã”; cụm từ “các phòng ban liên quan” bằng cụm từ “đơn vị chuyên môn” tại điểm c khoản 4 Điều 6;</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b) Bỏ các cụm từ: “Phòng Giáo dục và Đào tạo” và “Phòng Nội vụ” tại khoản 3, khoản 4 Điều 6;</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c) Bãi bỏ khoản 1 Điều 5.</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4. Thay thế cụm từ “cấp huyện” bằng cụm từ “cấp xã” tại Thông tư số </w:t>
      </w:r>
      <w:r w:rsidRPr="000E1709">
        <w:rPr>
          <w:rFonts w:ascii="Times New Roman" w:eastAsia="Times New Roman" w:hAnsi="Times New Roman" w:cs="Times New Roman"/>
          <w:color w:val="A67C52"/>
          <w:sz w:val="28"/>
          <w:szCs w:val="28"/>
        </w:rPr>
        <w:t>01/2021/TT-BGDĐT</w:t>
      </w:r>
      <w:r w:rsidRPr="000E1709">
        <w:rPr>
          <w:rFonts w:ascii="Times New Roman" w:eastAsia="Times New Roman" w:hAnsi="Times New Roman" w:cs="Times New Roman"/>
          <w:color w:val="2E2E2E"/>
          <w:sz w:val="28"/>
          <w:szCs w:val="28"/>
        </w:rPr>
        <w:t> ngày 02 tháng 02 năm 2021 của Bộ trưởng Bộ Giáo dục và Đào tạo quy định mã số, tiêu chuẩn chức danh nghề nghiệp và bổ nhiệm, xếp lương viên chức giảng dạy trong các cơ sở giáo dục mầm non công lập; Thông tư số </w:t>
      </w:r>
      <w:r w:rsidRPr="000E1709">
        <w:rPr>
          <w:rFonts w:ascii="Times New Roman" w:eastAsia="Times New Roman" w:hAnsi="Times New Roman" w:cs="Times New Roman"/>
          <w:color w:val="A67C52"/>
          <w:sz w:val="28"/>
          <w:szCs w:val="28"/>
        </w:rPr>
        <w:t>02/2021/TT-BGDĐT</w:t>
      </w:r>
      <w:r w:rsidRPr="000E1709">
        <w:rPr>
          <w:rFonts w:ascii="Times New Roman" w:eastAsia="Times New Roman" w:hAnsi="Times New Roman" w:cs="Times New Roman"/>
          <w:color w:val="2E2E2E"/>
          <w:sz w:val="28"/>
          <w:szCs w:val="28"/>
        </w:rPr>
        <w:t> ngày 02 tháng 02 năm 2021 của Bộ trưởng Bộ Giáo dục và Đào tạo quy định mã số, tiêu chuẩn chức danh nghề nghiệp và bổ nhiệm, xếp lương viên chức giảng dạy trong các trường tiểu học công lập và Thông tư số </w:t>
      </w:r>
      <w:r w:rsidRPr="000E1709">
        <w:rPr>
          <w:rFonts w:ascii="Times New Roman" w:eastAsia="Times New Roman" w:hAnsi="Times New Roman" w:cs="Times New Roman"/>
          <w:color w:val="A67C52"/>
          <w:sz w:val="28"/>
          <w:szCs w:val="28"/>
        </w:rPr>
        <w:t>03/2021/TT-</w:t>
      </w:r>
      <w:r w:rsidRPr="000E1709">
        <w:rPr>
          <w:rFonts w:ascii="Times New Roman" w:eastAsia="Times New Roman" w:hAnsi="Times New Roman" w:cs="Times New Roman"/>
          <w:color w:val="A67C52"/>
          <w:sz w:val="28"/>
          <w:szCs w:val="28"/>
        </w:rPr>
        <w:lastRenderedPageBreak/>
        <w:t>BGDĐT</w:t>
      </w:r>
      <w:r w:rsidRPr="000E1709">
        <w:rPr>
          <w:rFonts w:ascii="Times New Roman" w:eastAsia="Times New Roman" w:hAnsi="Times New Roman" w:cs="Times New Roman"/>
          <w:color w:val="2E2E2E"/>
          <w:sz w:val="28"/>
          <w:szCs w:val="28"/>
        </w:rPr>
        <w:t> ngày 02 tháng 02 năm 2021 của Bộ trưởng Bộ Giáo dục và Đào tạo quy định mã số, tiêu chuẩn chức danh nghề nghiệp và bổ nhiệm, xếp lương viên chức giảng dạy trong các trường trung học cơ sở công lập đã được sửa đổi, bổ sung bởi Thông tư số </w:t>
      </w:r>
      <w:r w:rsidRPr="000E1709">
        <w:rPr>
          <w:rFonts w:ascii="Times New Roman" w:eastAsia="Times New Roman" w:hAnsi="Times New Roman" w:cs="Times New Roman"/>
          <w:color w:val="A67C52"/>
          <w:sz w:val="28"/>
          <w:szCs w:val="28"/>
        </w:rPr>
        <w:t>08/2023/TT-BGDĐT</w:t>
      </w:r>
      <w:r w:rsidRPr="000E1709">
        <w:rPr>
          <w:rFonts w:ascii="Times New Roman" w:eastAsia="Times New Roman" w:hAnsi="Times New Roman" w:cs="Times New Roman"/>
          <w:color w:val="2E2E2E"/>
          <w:sz w:val="28"/>
          <w:szCs w:val="28"/>
        </w:rPr>
        <w:t> ngày 14 tháng 4 năm 2023 của Bộ trưởng Bộ Giáo dục và Đào tạo.</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5. Thay thế cụm từ “giáo viên dạy giỏi từ cấp huyện trở lên” bằng cụm từ “giáo viên dạy giỏi từ cấp xã trở lên” tại Bản mô tả vị trí việc làm Giáo viên mầm non hạng I; cụm từ “giấy khen từ cấp huyện trở lên” bằng cụm từ “giấy khen từ cấp xã trở lên” tại Bản mô tả vị trí việc làm Giáo viên mầm non hạng II và thay thế các cụm từ: “Phòng Giáo dục và Đào tạo”, “Ủy ban nhân dân huyện, quận, thị xã, thành phố thuộc tỉnh, thành phố thuộc thành phố trực thuộc trung ương”, “Ủy ban nhân dân cấp huyện”, “Phòng Giáo dục và Đào tạo và các cơ quan chuyên môn khác thuộc Ủy ban nhân dân cấp huyện” bằng cụm từ “Ủy ban nhân dân cấp xã” tại các Bản mô tả vị trí việc làm trong Phụ lục III ban hành kèm theo Thông tư số </w:t>
      </w:r>
      <w:r w:rsidRPr="000E1709">
        <w:rPr>
          <w:rFonts w:ascii="Times New Roman" w:eastAsia="Times New Roman" w:hAnsi="Times New Roman" w:cs="Times New Roman"/>
          <w:color w:val="A67C52"/>
          <w:sz w:val="28"/>
          <w:szCs w:val="28"/>
        </w:rPr>
        <w:t>19/2023/TT-BGDĐT</w:t>
      </w:r>
      <w:r w:rsidRPr="000E1709">
        <w:rPr>
          <w:rFonts w:ascii="Times New Roman" w:eastAsia="Times New Roman" w:hAnsi="Times New Roman" w:cs="Times New Roman"/>
          <w:color w:val="2E2E2E"/>
          <w:sz w:val="28"/>
          <w:szCs w:val="28"/>
        </w:rPr>
        <w:t> ngày 30 ngày 10 tháng 2023 của Bộ trưởng Bộ Giáo dục và Đào tạo hướng dẫn về vị trí việc làm, cơ cấu viên chức theo chức danh nghề nghiệp và định mức số lượng người làm việc trong các cơ sở giáo dục mầm non công lập.</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6. Thay thế cụm từ “giấy khen từ cấp huyện trở lên” bằng cụm từ “giấy khen từ cấp xã trở lên” và các cụm từ: “Phòng giáo dục và đào tạo”, “Ủy ban nhân dân huyện, quận, thị xã, thành phố thuộc tỉnh, thành phố thuộc thành phố trực thuộc trung ương”, “Ủy ban nhân dân cấp huyện”, “Phòng Giáo dục và Đào tạo và các cơ quan chuyên môn khác thuộc Ủy ban nhân dân cấp huyện” bằng cụm từ “Ủy ban nhân dân cấp xã” tại các Bản mô tả vị trí việc làm trong Phụ lục III kèm theo Thông tư số </w:t>
      </w:r>
      <w:r w:rsidRPr="000E1709">
        <w:rPr>
          <w:rFonts w:ascii="Times New Roman" w:eastAsia="Times New Roman" w:hAnsi="Times New Roman" w:cs="Times New Roman"/>
          <w:color w:val="A67C52"/>
          <w:sz w:val="28"/>
          <w:szCs w:val="28"/>
        </w:rPr>
        <w:t>20/2023/TT-BGDĐT</w:t>
      </w:r>
      <w:r w:rsidRPr="000E1709">
        <w:rPr>
          <w:rFonts w:ascii="Times New Roman" w:eastAsia="Times New Roman" w:hAnsi="Times New Roman" w:cs="Times New Roman"/>
          <w:color w:val="2E2E2E"/>
          <w:sz w:val="28"/>
          <w:szCs w:val="28"/>
        </w:rPr>
        <w: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7. Thay thế cụm từ “cấp huyện” bằng cụm từ “cấp xã” tại Thông tư số </w:t>
      </w:r>
      <w:r w:rsidRPr="000E1709">
        <w:rPr>
          <w:rFonts w:ascii="Times New Roman" w:eastAsia="Times New Roman" w:hAnsi="Times New Roman" w:cs="Times New Roman"/>
          <w:color w:val="A67C52"/>
          <w:sz w:val="28"/>
          <w:szCs w:val="28"/>
        </w:rPr>
        <w:t>11/2024/TT-BGDĐT</w:t>
      </w:r>
      <w:r w:rsidRPr="000E1709">
        <w:rPr>
          <w:rFonts w:ascii="Times New Roman" w:eastAsia="Times New Roman" w:hAnsi="Times New Roman" w:cs="Times New Roman"/>
          <w:color w:val="2E2E2E"/>
          <w:sz w:val="28"/>
          <w:szCs w:val="28"/>
        </w:rPr>
        <w:t> ngày 18 tháng 9 năm 2024 của Bộ trưởng Bộ Giáo dục và Đào tạo quy định mã số, tiêu chuẩn chức danh nghề nghiệp viên chức tư vấn học sinh.</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8. Thay thế cụm từ “Ủy ban nhân dân cấp huyện” bằng cụm từ “Ủy ban nhân dân cấp xã” tại khoản 1 Điều 14; cụm từ “Trưởng phòng Giáo dục và Đào tạo” bằng cụm từ “Chủ tịch Ủy ban nhân dân cấp xã” tại khoản 5 Điều 15 Thông tư số </w:t>
      </w:r>
      <w:r w:rsidRPr="000E1709">
        <w:rPr>
          <w:rFonts w:ascii="Times New Roman" w:eastAsia="Times New Roman" w:hAnsi="Times New Roman" w:cs="Times New Roman"/>
          <w:color w:val="A67C52"/>
          <w:sz w:val="28"/>
          <w:szCs w:val="28"/>
        </w:rPr>
        <w:t>05/2025/TT-BGDĐT</w:t>
      </w:r>
      <w:r w:rsidRPr="000E1709">
        <w:rPr>
          <w:rFonts w:ascii="Times New Roman" w:eastAsia="Times New Roman" w:hAnsi="Times New Roman" w:cs="Times New Roman"/>
          <w:color w:val="2E2E2E"/>
          <w:sz w:val="28"/>
          <w:szCs w:val="28"/>
        </w:rPr>
        <w:t> ngày 07 tháng 3 năm 2025 của Bộ trưởng Bộ Giáo dục và Đào tạo quy định chế độ làm việc đối với giáo viên phổ thông, dự bị đại học.</w:t>
      </w:r>
    </w:p>
    <w:p w:rsidR="000E1709" w:rsidRPr="000E1709" w:rsidRDefault="000E1709" w:rsidP="000E1709">
      <w:pPr>
        <w:spacing w:before="120" w:after="0" w:line="240" w:lineRule="auto"/>
        <w:jc w:val="center"/>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Chương III</w:t>
      </w:r>
      <w:r w:rsidRPr="000E1709">
        <w:rPr>
          <w:rFonts w:ascii="Times New Roman" w:eastAsia="Times New Roman" w:hAnsi="Times New Roman" w:cs="Times New Roman"/>
          <w:b/>
          <w:bCs/>
          <w:color w:val="2E2E2E"/>
          <w:sz w:val="28"/>
          <w:szCs w:val="28"/>
        </w:rPr>
        <w:br/>
        <w:t>ĐIỀU KHOẢN THI HÀNH</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b/>
          <w:bCs/>
          <w:color w:val="2E2E2E"/>
          <w:sz w:val="28"/>
          <w:szCs w:val="28"/>
        </w:rPr>
        <w:t>Điều 12. Hiệu lực và trách nhiệm thi hành</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1. Thông tư này có hiệu lực thi hành từ ngày 01 tháng 7 năm 2025.</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 xml:space="preserve">2. Thông tư này hết hiệu lực kể từ ngày 01 tháng 3 năm 2027 trừ các trường hợp Luật, nghị quyết của Quốc hội, pháp lệnh, nghị quyết của Ủy ban Thường vụ Quốc hội, nghị định, nghị quyết của Chính phủ, quyết định của Thủ tướng Chính phủ, </w:t>
      </w:r>
      <w:r w:rsidRPr="000E1709">
        <w:rPr>
          <w:rFonts w:ascii="Times New Roman" w:eastAsia="Times New Roman" w:hAnsi="Times New Roman" w:cs="Times New Roman"/>
          <w:color w:val="2E2E2E"/>
          <w:sz w:val="28"/>
          <w:szCs w:val="28"/>
        </w:rPr>
        <w:lastRenderedPageBreak/>
        <w:t>Thông tư của Bộ trưởng Bộ Giáo dục và Đào tạo có quy định về thẩm quyền, trách nhiệm quản lý nhà nước, trình tự, thủ tục quy định tại Thông tư này thông qua hoặc ban hành kể từ ngày 01 tháng 7 năm 2025 và có hiệu lực trước ngày 01 tháng 3 năm 2027 thì quy định tương ứng trong Thông tư này hết hiệu lực tại thời điểm các văn bản quy phạm pháp luật đó có hiệu lực.</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3. Trong thời gian các quy định của Thông tư này có hiệu lực, nếu quy định về thẩm quyền, trách nhiệm quản lý nhà nước, trình tự, thủ tục trong Thông tư này khác với các văn bản quy phạm pháp luật có liên quan ban hành trước ngày 01 tháng 7 năm 2025 thì thực hiện theo quy định tại Thông tư này.</w:t>
      </w:r>
    </w:p>
    <w:p w:rsidR="000E1709" w:rsidRPr="000E1709" w:rsidRDefault="000E1709" w:rsidP="000E1709">
      <w:pPr>
        <w:spacing w:before="120" w:after="0" w:line="240" w:lineRule="auto"/>
        <w:jc w:val="both"/>
        <w:rPr>
          <w:rFonts w:ascii="Times New Roman" w:eastAsia="Times New Roman" w:hAnsi="Times New Roman" w:cs="Times New Roman"/>
          <w:color w:val="2E2E2E"/>
          <w:sz w:val="28"/>
          <w:szCs w:val="28"/>
        </w:rPr>
      </w:pPr>
      <w:r w:rsidRPr="000E1709">
        <w:rPr>
          <w:rFonts w:ascii="Times New Roman" w:eastAsia="Times New Roman" w:hAnsi="Times New Roman" w:cs="Times New Roman"/>
          <w:color w:val="2E2E2E"/>
          <w:sz w:val="28"/>
          <w:szCs w:val="28"/>
        </w:rPr>
        <w:t>4. Chánh Văn phòng, Vụ trưởng Vụ Pháp chế, Cục trưởng Cục Nhà giáo và Cán bộ quản lý giáo dục, Thủ trưởng các đơn vị có liên quan thuộc Bộ Giáo dục và Đào tạo; Chủ tịch Ủy ban nhân dân tỉnh, thành phố trực thuộc Trung ương; Giám đốc Sở Giáo dục và Đào tạo; Chủ tịch Ủy ban nhân dân cấp xã; các cơ quan, tổ chức, đơn vị và cá nhân có liên quan chịu trách nhiệm thi hành Thông tư này./.</w:t>
      </w:r>
    </w:p>
    <w:tbl>
      <w:tblPr>
        <w:tblW w:w="5000" w:type="pct"/>
        <w:tblCellMar>
          <w:left w:w="0" w:type="dxa"/>
          <w:right w:w="0" w:type="dxa"/>
        </w:tblCellMar>
        <w:tblLook w:val="04A0" w:firstRow="1" w:lastRow="0" w:firstColumn="1" w:lastColumn="0" w:noHBand="0" w:noVBand="1"/>
      </w:tblPr>
      <w:tblGrid>
        <w:gridCol w:w="6125"/>
        <w:gridCol w:w="3066"/>
      </w:tblGrid>
      <w:tr w:rsidR="000E1709" w:rsidRPr="000E1709" w:rsidTr="000E1709">
        <w:tc>
          <w:tcPr>
            <w:tcW w:w="3332" w:type="pct"/>
            <w:hideMark/>
          </w:tcPr>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r w:rsidRPr="000E1709">
              <w:rPr>
                <w:rFonts w:ascii="Times New Roman" w:eastAsia="Times New Roman" w:hAnsi="Times New Roman" w:cs="Times New Roman"/>
                <w:b/>
                <w:bCs/>
                <w:i/>
                <w:iCs/>
                <w:color w:val="222222"/>
                <w:sz w:val="20"/>
                <w:szCs w:val="20"/>
              </w:rPr>
              <w:t>Nơi nhận:</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 w:name="bookmark59"/>
            <w:bookmarkEnd w:id="1"/>
            <w:r w:rsidRPr="000E1709">
              <w:rPr>
                <w:rFonts w:ascii="Times New Roman" w:eastAsia="Times New Roman" w:hAnsi="Times New Roman" w:cs="Times New Roman"/>
                <w:color w:val="222222"/>
                <w:sz w:val="20"/>
                <w:szCs w:val="20"/>
              </w:rPr>
              <w:t>- Ban Bí thư Trung ương Đảng;</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2" w:name="bookmark60"/>
            <w:bookmarkEnd w:id="2"/>
            <w:r w:rsidRPr="000E1709">
              <w:rPr>
                <w:rFonts w:ascii="Times New Roman" w:eastAsia="Times New Roman" w:hAnsi="Times New Roman" w:cs="Times New Roman"/>
                <w:color w:val="222222"/>
                <w:sz w:val="20"/>
                <w:szCs w:val="20"/>
              </w:rPr>
              <w:t>- Thủ tướng Chính phủ;</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3" w:name="bookmark61"/>
            <w:bookmarkEnd w:id="3"/>
            <w:r w:rsidRPr="000E1709">
              <w:rPr>
                <w:rFonts w:ascii="Times New Roman" w:eastAsia="Times New Roman" w:hAnsi="Times New Roman" w:cs="Times New Roman"/>
                <w:color w:val="222222"/>
                <w:sz w:val="20"/>
                <w:szCs w:val="20"/>
              </w:rPr>
              <w:t>- Các Phó Thủ tướng Chính phủ;</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4" w:name="bookmark62"/>
            <w:bookmarkEnd w:id="4"/>
            <w:r w:rsidRPr="000E1709">
              <w:rPr>
                <w:rFonts w:ascii="Times New Roman" w:eastAsia="Times New Roman" w:hAnsi="Times New Roman" w:cs="Times New Roman"/>
                <w:color w:val="222222"/>
                <w:sz w:val="20"/>
                <w:szCs w:val="20"/>
              </w:rPr>
              <w:t>- Văn phòng Quốc hội;</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5" w:name="bookmark63"/>
            <w:bookmarkEnd w:id="5"/>
            <w:r w:rsidRPr="000E1709">
              <w:rPr>
                <w:rFonts w:ascii="Times New Roman" w:eastAsia="Times New Roman" w:hAnsi="Times New Roman" w:cs="Times New Roman"/>
                <w:color w:val="222222"/>
                <w:sz w:val="20"/>
                <w:szCs w:val="20"/>
              </w:rPr>
              <w:t>- Văn phòng Chủ tịch nước;</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6" w:name="bookmark64"/>
            <w:bookmarkEnd w:id="6"/>
            <w:r w:rsidRPr="000E1709">
              <w:rPr>
                <w:rFonts w:ascii="Times New Roman" w:eastAsia="Times New Roman" w:hAnsi="Times New Roman" w:cs="Times New Roman"/>
                <w:color w:val="222222"/>
                <w:sz w:val="20"/>
                <w:szCs w:val="20"/>
              </w:rPr>
              <w:t>- Văn phòng Chính phủ;</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7" w:name="bookmark65"/>
            <w:bookmarkEnd w:id="7"/>
            <w:r w:rsidRPr="000E1709">
              <w:rPr>
                <w:rFonts w:ascii="Times New Roman" w:eastAsia="Times New Roman" w:hAnsi="Times New Roman" w:cs="Times New Roman"/>
                <w:color w:val="222222"/>
                <w:sz w:val="20"/>
                <w:szCs w:val="20"/>
              </w:rPr>
              <w:t>- Các Bộ, cơ quan ngang Bộ, cơ quan thuộc Chính phủ;</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8" w:name="bookmark66"/>
            <w:bookmarkEnd w:id="8"/>
            <w:r w:rsidRPr="000E1709">
              <w:rPr>
                <w:rFonts w:ascii="Times New Roman" w:eastAsia="Times New Roman" w:hAnsi="Times New Roman" w:cs="Times New Roman"/>
                <w:color w:val="222222"/>
                <w:sz w:val="20"/>
                <w:szCs w:val="20"/>
              </w:rPr>
              <w:t>- HĐND, UBND các tỉnh, thành phố trực thuộc TW;</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9" w:name="bookmark67"/>
            <w:bookmarkEnd w:id="9"/>
            <w:r w:rsidRPr="000E1709">
              <w:rPr>
                <w:rFonts w:ascii="Times New Roman" w:eastAsia="Times New Roman" w:hAnsi="Times New Roman" w:cs="Times New Roman"/>
                <w:color w:val="222222"/>
                <w:sz w:val="20"/>
                <w:szCs w:val="20"/>
              </w:rPr>
              <w:t>- Hội đồng Dân tộc và các Ủy ban của Quốc hội;</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0" w:name="bookmark68"/>
            <w:bookmarkEnd w:id="10"/>
            <w:r w:rsidRPr="000E1709">
              <w:rPr>
                <w:rFonts w:ascii="Times New Roman" w:eastAsia="Times New Roman" w:hAnsi="Times New Roman" w:cs="Times New Roman"/>
                <w:color w:val="222222"/>
                <w:sz w:val="20"/>
                <w:szCs w:val="20"/>
              </w:rPr>
              <w:t>- Viện KSND tối cao; Tòa án ND tối cao;</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1" w:name="bookmark69"/>
            <w:bookmarkEnd w:id="11"/>
            <w:r w:rsidRPr="000E1709">
              <w:rPr>
                <w:rFonts w:ascii="Times New Roman" w:eastAsia="Times New Roman" w:hAnsi="Times New Roman" w:cs="Times New Roman"/>
                <w:color w:val="222222"/>
                <w:sz w:val="20"/>
                <w:szCs w:val="20"/>
              </w:rPr>
              <w:t>- Tổng kiểm toán nhà nước;</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2" w:name="bookmark70"/>
            <w:bookmarkEnd w:id="12"/>
            <w:r w:rsidRPr="000E1709">
              <w:rPr>
                <w:rFonts w:ascii="Times New Roman" w:eastAsia="Times New Roman" w:hAnsi="Times New Roman" w:cs="Times New Roman"/>
                <w:color w:val="222222"/>
                <w:sz w:val="20"/>
                <w:szCs w:val="20"/>
              </w:rPr>
              <w:t>- Ủy ban TƯ Mặt trận Tổ quốc Việt Nam;</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3" w:name="bookmark71"/>
            <w:bookmarkEnd w:id="13"/>
            <w:r w:rsidRPr="000E1709">
              <w:rPr>
                <w:rFonts w:ascii="Times New Roman" w:eastAsia="Times New Roman" w:hAnsi="Times New Roman" w:cs="Times New Roman"/>
                <w:color w:val="222222"/>
                <w:sz w:val="20"/>
                <w:szCs w:val="20"/>
              </w:rPr>
              <w:t>- Cơ quan TƯ của các tổ chức chính trị - xã hội;</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4" w:name="bookmark72"/>
            <w:bookmarkEnd w:id="14"/>
            <w:r w:rsidRPr="000E1709">
              <w:rPr>
                <w:rFonts w:ascii="Times New Roman" w:eastAsia="Times New Roman" w:hAnsi="Times New Roman" w:cs="Times New Roman"/>
                <w:color w:val="222222"/>
                <w:sz w:val="20"/>
                <w:szCs w:val="20"/>
              </w:rPr>
              <w:t>- Cục KTVB&amp;QLXLVPHC, Bộ Tư pháp;</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5" w:name="bookmark73"/>
            <w:bookmarkEnd w:id="15"/>
            <w:r w:rsidRPr="000E1709">
              <w:rPr>
                <w:rFonts w:ascii="Times New Roman" w:eastAsia="Times New Roman" w:hAnsi="Times New Roman" w:cs="Times New Roman"/>
                <w:color w:val="222222"/>
                <w:sz w:val="20"/>
                <w:szCs w:val="20"/>
              </w:rPr>
              <w:t>- Sở GD&amp;ĐT các tỉnh, TP trực thuộc TW;</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6" w:name="bookmark74"/>
            <w:bookmarkEnd w:id="16"/>
            <w:r w:rsidRPr="000E1709">
              <w:rPr>
                <w:rFonts w:ascii="Times New Roman" w:eastAsia="Times New Roman" w:hAnsi="Times New Roman" w:cs="Times New Roman"/>
                <w:color w:val="222222"/>
                <w:sz w:val="20"/>
                <w:szCs w:val="20"/>
              </w:rPr>
              <w:t>- Bộ trưởng (để b/c);</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7" w:name="bookmark75"/>
            <w:bookmarkEnd w:id="17"/>
            <w:r w:rsidRPr="000E1709">
              <w:rPr>
                <w:rFonts w:ascii="Times New Roman" w:eastAsia="Times New Roman" w:hAnsi="Times New Roman" w:cs="Times New Roman"/>
                <w:color w:val="222222"/>
                <w:sz w:val="20"/>
                <w:szCs w:val="20"/>
              </w:rPr>
              <w:t>- Các Thứ trưởng Bộ GDĐT;</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8" w:name="bookmark76"/>
            <w:bookmarkEnd w:id="18"/>
            <w:r w:rsidRPr="000E1709">
              <w:rPr>
                <w:rFonts w:ascii="Times New Roman" w:eastAsia="Times New Roman" w:hAnsi="Times New Roman" w:cs="Times New Roman"/>
                <w:color w:val="222222"/>
                <w:sz w:val="20"/>
                <w:szCs w:val="20"/>
              </w:rPr>
              <w:t>- Công báo; Cổng TTĐT Chính phủ; Cổng TTĐT Bộ</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r w:rsidRPr="000E1709">
              <w:rPr>
                <w:rFonts w:ascii="Times New Roman" w:eastAsia="Times New Roman" w:hAnsi="Times New Roman" w:cs="Times New Roman"/>
                <w:color w:val="222222"/>
                <w:sz w:val="20"/>
                <w:szCs w:val="20"/>
              </w:rPr>
              <w:t>GD&amp;ĐT; các đơn vị thuộc Bộ GD&amp;ĐT;</w:t>
            </w:r>
          </w:p>
          <w:p w:rsidR="000E1709" w:rsidRPr="000E1709" w:rsidRDefault="000E1709" w:rsidP="000E1709">
            <w:pPr>
              <w:spacing w:before="120" w:after="0" w:line="240" w:lineRule="auto"/>
              <w:jc w:val="both"/>
              <w:rPr>
                <w:rFonts w:ascii="Times New Roman" w:eastAsia="Times New Roman" w:hAnsi="Times New Roman" w:cs="Times New Roman"/>
                <w:color w:val="222222"/>
                <w:sz w:val="20"/>
                <w:szCs w:val="20"/>
              </w:rPr>
            </w:pPr>
            <w:bookmarkStart w:id="19" w:name="bookmark77"/>
            <w:bookmarkEnd w:id="19"/>
            <w:r w:rsidRPr="000E1709">
              <w:rPr>
                <w:rFonts w:ascii="Times New Roman" w:eastAsia="Times New Roman" w:hAnsi="Times New Roman" w:cs="Times New Roman"/>
                <w:color w:val="222222"/>
                <w:sz w:val="20"/>
                <w:szCs w:val="20"/>
              </w:rPr>
              <w:t>- Lưu VT, NGCBQLGD, PC.</w:t>
            </w:r>
          </w:p>
        </w:tc>
        <w:tc>
          <w:tcPr>
            <w:tcW w:w="1668" w:type="pct"/>
            <w:hideMark/>
          </w:tcPr>
          <w:p w:rsidR="000E1709" w:rsidRPr="000E1709" w:rsidRDefault="000E1709" w:rsidP="000E1709">
            <w:pPr>
              <w:spacing w:before="120" w:after="0" w:line="240" w:lineRule="auto"/>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KT. BỘ TRƯỞNG</w:t>
            </w:r>
          </w:p>
          <w:p w:rsidR="000E1709" w:rsidRPr="000E1709" w:rsidRDefault="000E1709" w:rsidP="000E1709">
            <w:pPr>
              <w:spacing w:before="120" w:after="0" w:line="240" w:lineRule="auto"/>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THỨ TRƯỞNG</w:t>
            </w:r>
          </w:p>
          <w:p w:rsidR="000E1709" w:rsidRPr="000E1709" w:rsidRDefault="000E1709" w:rsidP="000E1709">
            <w:pPr>
              <w:spacing w:before="120" w:after="0" w:line="240" w:lineRule="auto"/>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 </w:t>
            </w:r>
          </w:p>
          <w:p w:rsidR="000E1709" w:rsidRPr="000E1709" w:rsidRDefault="000E1709" w:rsidP="000E1709">
            <w:pPr>
              <w:spacing w:before="120" w:after="0" w:line="240" w:lineRule="auto"/>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 </w:t>
            </w:r>
          </w:p>
          <w:p w:rsidR="000E1709" w:rsidRPr="000E1709" w:rsidRDefault="000E1709" w:rsidP="000E1709">
            <w:pPr>
              <w:spacing w:before="120" w:after="0" w:line="240" w:lineRule="auto"/>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 </w:t>
            </w:r>
          </w:p>
          <w:p w:rsidR="000E1709" w:rsidRPr="000E1709" w:rsidRDefault="000E1709" w:rsidP="000E1709">
            <w:pPr>
              <w:spacing w:before="120" w:after="0" w:line="240" w:lineRule="auto"/>
              <w:jc w:val="both"/>
              <w:rPr>
                <w:rFonts w:ascii="Times New Roman" w:eastAsia="Times New Roman" w:hAnsi="Times New Roman" w:cs="Times New Roman"/>
                <w:color w:val="222222"/>
                <w:sz w:val="28"/>
                <w:szCs w:val="28"/>
              </w:rPr>
            </w:pPr>
            <w:r w:rsidRPr="000E1709">
              <w:rPr>
                <w:rFonts w:ascii="Times New Roman" w:eastAsia="Times New Roman" w:hAnsi="Times New Roman" w:cs="Times New Roman"/>
                <w:b/>
                <w:bCs/>
                <w:color w:val="222222"/>
                <w:sz w:val="28"/>
                <w:szCs w:val="28"/>
              </w:rPr>
              <w:t>Nguyễn Văn Phúc</w:t>
            </w:r>
          </w:p>
        </w:tc>
      </w:tr>
    </w:tbl>
    <w:p w:rsidR="00B34EB6" w:rsidRPr="000E1709" w:rsidRDefault="00B34EB6">
      <w:pPr>
        <w:rPr>
          <w:sz w:val="20"/>
          <w:szCs w:val="20"/>
        </w:rPr>
      </w:pPr>
    </w:p>
    <w:sectPr w:rsidR="00B34EB6" w:rsidRPr="000E1709" w:rsidSect="00836CFC">
      <w:pgSz w:w="11907" w:h="16840" w:code="9"/>
      <w:pgMar w:top="567" w:right="127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09"/>
    <w:rsid w:val="000E1709"/>
    <w:rsid w:val="00836CFC"/>
    <w:rsid w:val="00B3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4677C-FFE9-4110-9227-24C509C5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link">
    <w:name w:val="doclink"/>
    <w:basedOn w:val="DefaultParagraphFont"/>
    <w:rsid w:val="000E1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65255">
      <w:bodyDiv w:val="1"/>
      <w:marLeft w:val="0"/>
      <w:marRight w:val="0"/>
      <w:marTop w:val="0"/>
      <w:marBottom w:val="0"/>
      <w:divBdr>
        <w:top w:val="none" w:sz="0" w:space="0" w:color="auto"/>
        <w:left w:val="none" w:sz="0" w:space="0" w:color="auto"/>
        <w:bottom w:val="none" w:sz="0" w:space="0" w:color="auto"/>
        <w:right w:val="none" w:sz="0" w:space="0" w:color="auto"/>
      </w:divBdr>
      <w:divsChild>
        <w:div w:id="52701878">
          <w:marLeft w:val="0"/>
          <w:marRight w:val="0"/>
          <w:marTop w:val="120"/>
          <w:marBottom w:val="120"/>
          <w:divBdr>
            <w:top w:val="none" w:sz="0" w:space="0" w:color="auto"/>
            <w:left w:val="none" w:sz="0" w:space="0" w:color="auto"/>
            <w:bottom w:val="none" w:sz="0" w:space="0" w:color="auto"/>
            <w:right w:val="none" w:sz="0" w:space="0" w:color="auto"/>
          </w:divBdr>
          <w:divsChild>
            <w:div w:id="1516383689">
              <w:marLeft w:val="0"/>
              <w:marRight w:val="0"/>
              <w:marTop w:val="0"/>
              <w:marBottom w:val="0"/>
              <w:divBdr>
                <w:top w:val="none" w:sz="0" w:space="0" w:color="auto"/>
                <w:left w:val="none" w:sz="0" w:space="0" w:color="auto"/>
                <w:bottom w:val="none" w:sz="0" w:space="0" w:color="auto"/>
                <w:right w:val="none" w:sz="0" w:space="0" w:color="auto"/>
              </w:divBdr>
            </w:div>
          </w:divsChild>
        </w:div>
        <w:div w:id="407046912">
          <w:marLeft w:val="0"/>
          <w:marRight w:val="0"/>
          <w:marTop w:val="120"/>
          <w:marBottom w:val="120"/>
          <w:divBdr>
            <w:top w:val="none" w:sz="0" w:space="0" w:color="auto"/>
            <w:left w:val="none" w:sz="0" w:space="0" w:color="auto"/>
            <w:bottom w:val="none" w:sz="0" w:space="0" w:color="auto"/>
            <w:right w:val="none" w:sz="0" w:space="0" w:color="auto"/>
          </w:divBdr>
        </w:div>
        <w:div w:id="279184875">
          <w:marLeft w:val="0"/>
          <w:marRight w:val="0"/>
          <w:marTop w:val="120"/>
          <w:marBottom w:val="120"/>
          <w:divBdr>
            <w:top w:val="none" w:sz="0" w:space="0" w:color="auto"/>
            <w:left w:val="none" w:sz="0" w:space="0" w:color="auto"/>
            <w:bottom w:val="none" w:sz="0" w:space="0" w:color="auto"/>
            <w:right w:val="none" w:sz="0" w:space="0" w:color="auto"/>
          </w:divBdr>
        </w:div>
        <w:div w:id="84351755">
          <w:marLeft w:val="0"/>
          <w:marRight w:val="0"/>
          <w:marTop w:val="120"/>
          <w:marBottom w:val="120"/>
          <w:divBdr>
            <w:top w:val="none" w:sz="0" w:space="0" w:color="auto"/>
            <w:left w:val="none" w:sz="0" w:space="0" w:color="auto"/>
            <w:bottom w:val="none" w:sz="0" w:space="0" w:color="auto"/>
            <w:right w:val="none" w:sz="0" w:space="0" w:color="auto"/>
          </w:divBdr>
        </w:div>
        <w:div w:id="129253000">
          <w:marLeft w:val="0"/>
          <w:marRight w:val="0"/>
          <w:marTop w:val="120"/>
          <w:marBottom w:val="120"/>
          <w:divBdr>
            <w:top w:val="none" w:sz="0" w:space="0" w:color="auto"/>
            <w:left w:val="none" w:sz="0" w:space="0" w:color="auto"/>
            <w:bottom w:val="none" w:sz="0" w:space="0" w:color="auto"/>
            <w:right w:val="none" w:sz="0" w:space="0" w:color="auto"/>
          </w:divBdr>
        </w:div>
        <w:div w:id="324404040">
          <w:marLeft w:val="0"/>
          <w:marRight w:val="0"/>
          <w:marTop w:val="120"/>
          <w:marBottom w:val="120"/>
          <w:divBdr>
            <w:top w:val="none" w:sz="0" w:space="0" w:color="auto"/>
            <w:left w:val="none" w:sz="0" w:space="0" w:color="auto"/>
            <w:bottom w:val="none" w:sz="0" w:space="0" w:color="auto"/>
            <w:right w:val="none" w:sz="0" w:space="0" w:color="auto"/>
          </w:divBdr>
        </w:div>
        <w:div w:id="1754274330">
          <w:marLeft w:val="0"/>
          <w:marRight w:val="0"/>
          <w:marTop w:val="120"/>
          <w:marBottom w:val="120"/>
          <w:divBdr>
            <w:top w:val="none" w:sz="0" w:space="0" w:color="auto"/>
            <w:left w:val="none" w:sz="0" w:space="0" w:color="auto"/>
            <w:bottom w:val="none" w:sz="0" w:space="0" w:color="auto"/>
            <w:right w:val="none" w:sz="0" w:space="0" w:color="auto"/>
          </w:divBdr>
        </w:div>
        <w:div w:id="1972595923">
          <w:marLeft w:val="0"/>
          <w:marRight w:val="0"/>
          <w:marTop w:val="120"/>
          <w:marBottom w:val="120"/>
          <w:divBdr>
            <w:top w:val="none" w:sz="0" w:space="0" w:color="auto"/>
            <w:left w:val="none" w:sz="0" w:space="0" w:color="auto"/>
            <w:bottom w:val="none" w:sz="0" w:space="0" w:color="auto"/>
            <w:right w:val="none" w:sz="0" w:space="0" w:color="auto"/>
          </w:divBdr>
        </w:div>
        <w:div w:id="214973848">
          <w:marLeft w:val="0"/>
          <w:marRight w:val="0"/>
          <w:marTop w:val="120"/>
          <w:marBottom w:val="120"/>
          <w:divBdr>
            <w:top w:val="none" w:sz="0" w:space="0" w:color="auto"/>
            <w:left w:val="none" w:sz="0" w:space="0" w:color="auto"/>
            <w:bottom w:val="none" w:sz="0" w:space="0" w:color="auto"/>
            <w:right w:val="none" w:sz="0" w:space="0" w:color="auto"/>
          </w:divBdr>
        </w:div>
        <w:div w:id="453525902">
          <w:marLeft w:val="0"/>
          <w:marRight w:val="0"/>
          <w:marTop w:val="120"/>
          <w:marBottom w:val="120"/>
          <w:divBdr>
            <w:top w:val="none" w:sz="0" w:space="0" w:color="auto"/>
            <w:left w:val="none" w:sz="0" w:space="0" w:color="auto"/>
            <w:bottom w:val="none" w:sz="0" w:space="0" w:color="auto"/>
            <w:right w:val="none" w:sz="0" w:space="0" w:color="auto"/>
          </w:divBdr>
        </w:div>
        <w:div w:id="1948389914">
          <w:marLeft w:val="0"/>
          <w:marRight w:val="0"/>
          <w:marTop w:val="120"/>
          <w:marBottom w:val="120"/>
          <w:divBdr>
            <w:top w:val="none" w:sz="0" w:space="0" w:color="auto"/>
            <w:left w:val="none" w:sz="0" w:space="0" w:color="auto"/>
            <w:bottom w:val="none" w:sz="0" w:space="0" w:color="auto"/>
            <w:right w:val="none" w:sz="0" w:space="0" w:color="auto"/>
          </w:divBdr>
        </w:div>
        <w:div w:id="113789759">
          <w:marLeft w:val="0"/>
          <w:marRight w:val="0"/>
          <w:marTop w:val="120"/>
          <w:marBottom w:val="120"/>
          <w:divBdr>
            <w:top w:val="none" w:sz="0" w:space="0" w:color="auto"/>
            <w:left w:val="none" w:sz="0" w:space="0" w:color="auto"/>
            <w:bottom w:val="none" w:sz="0" w:space="0" w:color="auto"/>
            <w:right w:val="none" w:sz="0" w:space="0" w:color="auto"/>
          </w:divBdr>
        </w:div>
        <w:div w:id="1324964718">
          <w:marLeft w:val="0"/>
          <w:marRight w:val="0"/>
          <w:marTop w:val="120"/>
          <w:marBottom w:val="120"/>
          <w:divBdr>
            <w:top w:val="none" w:sz="0" w:space="0" w:color="auto"/>
            <w:left w:val="none" w:sz="0" w:space="0" w:color="auto"/>
            <w:bottom w:val="none" w:sz="0" w:space="0" w:color="auto"/>
            <w:right w:val="none" w:sz="0" w:space="0" w:color="auto"/>
          </w:divBdr>
        </w:div>
        <w:div w:id="472672177">
          <w:marLeft w:val="0"/>
          <w:marRight w:val="0"/>
          <w:marTop w:val="120"/>
          <w:marBottom w:val="120"/>
          <w:divBdr>
            <w:top w:val="none" w:sz="0" w:space="0" w:color="auto"/>
            <w:left w:val="none" w:sz="0" w:space="0" w:color="auto"/>
            <w:bottom w:val="none" w:sz="0" w:space="0" w:color="auto"/>
            <w:right w:val="none" w:sz="0" w:space="0" w:color="auto"/>
          </w:divBdr>
        </w:div>
        <w:div w:id="210846192">
          <w:marLeft w:val="0"/>
          <w:marRight w:val="0"/>
          <w:marTop w:val="120"/>
          <w:marBottom w:val="120"/>
          <w:divBdr>
            <w:top w:val="none" w:sz="0" w:space="0" w:color="auto"/>
            <w:left w:val="none" w:sz="0" w:space="0" w:color="auto"/>
            <w:bottom w:val="none" w:sz="0" w:space="0" w:color="auto"/>
            <w:right w:val="none" w:sz="0" w:space="0" w:color="auto"/>
          </w:divBdr>
        </w:div>
        <w:div w:id="601914151">
          <w:marLeft w:val="0"/>
          <w:marRight w:val="0"/>
          <w:marTop w:val="120"/>
          <w:marBottom w:val="120"/>
          <w:divBdr>
            <w:top w:val="none" w:sz="0" w:space="0" w:color="auto"/>
            <w:left w:val="none" w:sz="0" w:space="0" w:color="auto"/>
            <w:bottom w:val="none" w:sz="0" w:space="0" w:color="auto"/>
            <w:right w:val="none" w:sz="0" w:space="0" w:color="auto"/>
          </w:divBdr>
        </w:div>
        <w:div w:id="552010553">
          <w:marLeft w:val="0"/>
          <w:marRight w:val="0"/>
          <w:marTop w:val="120"/>
          <w:marBottom w:val="120"/>
          <w:divBdr>
            <w:top w:val="none" w:sz="0" w:space="0" w:color="auto"/>
            <w:left w:val="none" w:sz="0" w:space="0" w:color="auto"/>
            <w:bottom w:val="none" w:sz="0" w:space="0" w:color="auto"/>
            <w:right w:val="none" w:sz="0" w:space="0" w:color="auto"/>
          </w:divBdr>
        </w:div>
        <w:div w:id="776411200">
          <w:marLeft w:val="0"/>
          <w:marRight w:val="0"/>
          <w:marTop w:val="120"/>
          <w:marBottom w:val="120"/>
          <w:divBdr>
            <w:top w:val="none" w:sz="0" w:space="0" w:color="auto"/>
            <w:left w:val="none" w:sz="0" w:space="0" w:color="auto"/>
            <w:bottom w:val="none" w:sz="0" w:space="0" w:color="auto"/>
            <w:right w:val="none" w:sz="0" w:space="0" w:color="auto"/>
          </w:divBdr>
        </w:div>
        <w:div w:id="1564294328">
          <w:marLeft w:val="0"/>
          <w:marRight w:val="0"/>
          <w:marTop w:val="120"/>
          <w:marBottom w:val="120"/>
          <w:divBdr>
            <w:top w:val="none" w:sz="0" w:space="0" w:color="auto"/>
            <w:left w:val="none" w:sz="0" w:space="0" w:color="auto"/>
            <w:bottom w:val="none" w:sz="0" w:space="0" w:color="auto"/>
            <w:right w:val="none" w:sz="0" w:space="0" w:color="auto"/>
          </w:divBdr>
        </w:div>
        <w:div w:id="1870489566">
          <w:marLeft w:val="0"/>
          <w:marRight w:val="0"/>
          <w:marTop w:val="120"/>
          <w:marBottom w:val="120"/>
          <w:divBdr>
            <w:top w:val="none" w:sz="0" w:space="0" w:color="auto"/>
            <w:left w:val="none" w:sz="0" w:space="0" w:color="auto"/>
            <w:bottom w:val="none" w:sz="0" w:space="0" w:color="auto"/>
            <w:right w:val="none" w:sz="0" w:space="0" w:color="auto"/>
          </w:divBdr>
        </w:div>
        <w:div w:id="1482699812">
          <w:marLeft w:val="0"/>
          <w:marRight w:val="0"/>
          <w:marTop w:val="120"/>
          <w:marBottom w:val="120"/>
          <w:divBdr>
            <w:top w:val="none" w:sz="0" w:space="0" w:color="auto"/>
            <w:left w:val="none" w:sz="0" w:space="0" w:color="auto"/>
            <w:bottom w:val="none" w:sz="0" w:space="0" w:color="auto"/>
            <w:right w:val="none" w:sz="0" w:space="0" w:color="auto"/>
          </w:divBdr>
        </w:div>
        <w:div w:id="1746875313">
          <w:marLeft w:val="0"/>
          <w:marRight w:val="0"/>
          <w:marTop w:val="120"/>
          <w:marBottom w:val="120"/>
          <w:divBdr>
            <w:top w:val="none" w:sz="0" w:space="0" w:color="auto"/>
            <w:left w:val="none" w:sz="0" w:space="0" w:color="auto"/>
            <w:bottom w:val="none" w:sz="0" w:space="0" w:color="auto"/>
            <w:right w:val="none" w:sz="0" w:space="0" w:color="auto"/>
          </w:divBdr>
        </w:div>
        <w:div w:id="319161791">
          <w:marLeft w:val="0"/>
          <w:marRight w:val="0"/>
          <w:marTop w:val="120"/>
          <w:marBottom w:val="120"/>
          <w:divBdr>
            <w:top w:val="none" w:sz="0" w:space="0" w:color="auto"/>
            <w:left w:val="none" w:sz="0" w:space="0" w:color="auto"/>
            <w:bottom w:val="none" w:sz="0" w:space="0" w:color="auto"/>
            <w:right w:val="none" w:sz="0" w:space="0" w:color="auto"/>
          </w:divBdr>
        </w:div>
        <w:div w:id="11303068">
          <w:marLeft w:val="0"/>
          <w:marRight w:val="0"/>
          <w:marTop w:val="120"/>
          <w:marBottom w:val="120"/>
          <w:divBdr>
            <w:top w:val="none" w:sz="0" w:space="0" w:color="auto"/>
            <w:left w:val="none" w:sz="0" w:space="0" w:color="auto"/>
            <w:bottom w:val="none" w:sz="0" w:space="0" w:color="auto"/>
            <w:right w:val="none" w:sz="0" w:space="0" w:color="auto"/>
          </w:divBdr>
        </w:div>
        <w:div w:id="760641815">
          <w:marLeft w:val="0"/>
          <w:marRight w:val="0"/>
          <w:marTop w:val="120"/>
          <w:marBottom w:val="120"/>
          <w:divBdr>
            <w:top w:val="none" w:sz="0" w:space="0" w:color="auto"/>
            <w:left w:val="none" w:sz="0" w:space="0" w:color="auto"/>
            <w:bottom w:val="none" w:sz="0" w:space="0" w:color="auto"/>
            <w:right w:val="none" w:sz="0" w:space="0" w:color="auto"/>
          </w:divBdr>
        </w:div>
        <w:div w:id="546382731">
          <w:marLeft w:val="0"/>
          <w:marRight w:val="0"/>
          <w:marTop w:val="120"/>
          <w:marBottom w:val="120"/>
          <w:divBdr>
            <w:top w:val="none" w:sz="0" w:space="0" w:color="auto"/>
            <w:left w:val="none" w:sz="0" w:space="0" w:color="auto"/>
            <w:bottom w:val="none" w:sz="0" w:space="0" w:color="auto"/>
            <w:right w:val="none" w:sz="0" w:space="0" w:color="auto"/>
          </w:divBdr>
        </w:div>
        <w:div w:id="657458754">
          <w:marLeft w:val="0"/>
          <w:marRight w:val="0"/>
          <w:marTop w:val="120"/>
          <w:marBottom w:val="120"/>
          <w:divBdr>
            <w:top w:val="none" w:sz="0" w:space="0" w:color="auto"/>
            <w:left w:val="none" w:sz="0" w:space="0" w:color="auto"/>
            <w:bottom w:val="none" w:sz="0" w:space="0" w:color="auto"/>
            <w:right w:val="none" w:sz="0" w:space="0" w:color="auto"/>
          </w:divBdr>
        </w:div>
        <w:div w:id="440220070">
          <w:marLeft w:val="0"/>
          <w:marRight w:val="0"/>
          <w:marTop w:val="120"/>
          <w:marBottom w:val="120"/>
          <w:divBdr>
            <w:top w:val="none" w:sz="0" w:space="0" w:color="auto"/>
            <w:left w:val="none" w:sz="0" w:space="0" w:color="auto"/>
            <w:bottom w:val="none" w:sz="0" w:space="0" w:color="auto"/>
            <w:right w:val="none" w:sz="0" w:space="0" w:color="auto"/>
          </w:divBdr>
        </w:div>
        <w:div w:id="583297609">
          <w:marLeft w:val="0"/>
          <w:marRight w:val="0"/>
          <w:marTop w:val="120"/>
          <w:marBottom w:val="120"/>
          <w:divBdr>
            <w:top w:val="none" w:sz="0" w:space="0" w:color="auto"/>
            <w:left w:val="none" w:sz="0" w:space="0" w:color="auto"/>
            <w:bottom w:val="none" w:sz="0" w:space="0" w:color="auto"/>
            <w:right w:val="none" w:sz="0" w:space="0" w:color="auto"/>
          </w:divBdr>
        </w:div>
        <w:div w:id="539393206">
          <w:marLeft w:val="0"/>
          <w:marRight w:val="0"/>
          <w:marTop w:val="120"/>
          <w:marBottom w:val="120"/>
          <w:divBdr>
            <w:top w:val="none" w:sz="0" w:space="0" w:color="auto"/>
            <w:left w:val="none" w:sz="0" w:space="0" w:color="auto"/>
            <w:bottom w:val="none" w:sz="0" w:space="0" w:color="auto"/>
            <w:right w:val="none" w:sz="0" w:space="0" w:color="auto"/>
          </w:divBdr>
        </w:div>
        <w:div w:id="289475675">
          <w:marLeft w:val="0"/>
          <w:marRight w:val="0"/>
          <w:marTop w:val="120"/>
          <w:marBottom w:val="120"/>
          <w:divBdr>
            <w:top w:val="none" w:sz="0" w:space="0" w:color="auto"/>
            <w:left w:val="none" w:sz="0" w:space="0" w:color="auto"/>
            <w:bottom w:val="none" w:sz="0" w:space="0" w:color="auto"/>
            <w:right w:val="none" w:sz="0" w:space="0" w:color="auto"/>
          </w:divBdr>
        </w:div>
        <w:div w:id="2065911997">
          <w:marLeft w:val="0"/>
          <w:marRight w:val="0"/>
          <w:marTop w:val="120"/>
          <w:marBottom w:val="120"/>
          <w:divBdr>
            <w:top w:val="none" w:sz="0" w:space="0" w:color="auto"/>
            <w:left w:val="none" w:sz="0" w:space="0" w:color="auto"/>
            <w:bottom w:val="none" w:sz="0" w:space="0" w:color="auto"/>
            <w:right w:val="none" w:sz="0" w:space="0" w:color="auto"/>
          </w:divBdr>
        </w:div>
        <w:div w:id="2055349116">
          <w:marLeft w:val="0"/>
          <w:marRight w:val="0"/>
          <w:marTop w:val="120"/>
          <w:marBottom w:val="120"/>
          <w:divBdr>
            <w:top w:val="none" w:sz="0" w:space="0" w:color="auto"/>
            <w:left w:val="none" w:sz="0" w:space="0" w:color="auto"/>
            <w:bottom w:val="none" w:sz="0" w:space="0" w:color="auto"/>
            <w:right w:val="none" w:sz="0" w:space="0" w:color="auto"/>
          </w:divBdr>
        </w:div>
        <w:div w:id="1739473296">
          <w:marLeft w:val="0"/>
          <w:marRight w:val="0"/>
          <w:marTop w:val="120"/>
          <w:marBottom w:val="120"/>
          <w:divBdr>
            <w:top w:val="none" w:sz="0" w:space="0" w:color="auto"/>
            <w:left w:val="none" w:sz="0" w:space="0" w:color="auto"/>
            <w:bottom w:val="none" w:sz="0" w:space="0" w:color="auto"/>
            <w:right w:val="none" w:sz="0" w:space="0" w:color="auto"/>
          </w:divBdr>
        </w:div>
        <w:div w:id="1362440195">
          <w:marLeft w:val="0"/>
          <w:marRight w:val="0"/>
          <w:marTop w:val="120"/>
          <w:marBottom w:val="120"/>
          <w:divBdr>
            <w:top w:val="none" w:sz="0" w:space="0" w:color="auto"/>
            <w:left w:val="none" w:sz="0" w:space="0" w:color="auto"/>
            <w:bottom w:val="none" w:sz="0" w:space="0" w:color="auto"/>
            <w:right w:val="none" w:sz="0" w:space="0" w:color="auto"/>
          </w:divBdr>
        </w:div>
        <w:div w:id="76485977">
          <w:marLeft w:val="0"/>
          <w:marRight w:val="0"/>
          <w:marTop w:val="120"/>
          <w:marBottom w:val="120"/>
          <w:divBdr>
            <w:top w:val="none" w:sz="0" w:space="0" w:color="auto"/>
            <w:left w:val="none" w:sz="0" w:space="0" w:color="auto"/>
            <w:bottom w:val="none" w:sz="0" w:space="0" w:color="auto"/>
            <w:right w:val="none" w:sz="0" w:space="0" w:color="auto"/>
          </w:divBdr>
        </w:div>
        <w:div w:id="119959405">
          <w:marLeft w:val="0"/>
          <w:marRight w:val="0"/>
          <w:marTop w:val="120"/>
          <w:marBottom w:val="120"/>
          <w:divBdr>
            <w:top w:val="none" w:sz="0" w:space="0" w:color="auto"/>
            <w:left w:val="none" w:sz="0" w:space="0" w:color="auto"/>
            <w:bottom w:val="none" w:sz="0" w:space="0" w:color="auto"/>
            <w:right w:val="none" w:sz="0" w:space="0" w:color="auto"/>
          </w:divBdr>
        </w:div>
        <w:div w:id="1305426640">
          <w:marLeft w:val="0"/>
          <w:marRight w:val="0"/>
          <w:marTop w:val="120"/>
          <w:marBottom w:val="120"/>
          <w:divBdr>
            <w:top w:val="none" w:sz="0" w:space="0" w:color="auto"/>
            <w:left w:val="none" w:sz="0" w:space="0" w:color="auto"/>
            <w:bottom w:val="none" w:sz="0" w:space="0" w:color="auto"/>
            <w:right w:val="none" w:sz="0" w:space="0" w:color="auto"/>
          </w:divBdr>
        </w:div>
        <w:div w:id="1672832524">
          <w:marLeft w:val="0"/>
          <w:marRight w:val="0"/>
          <w:marTop w:val="120"/>
          <w:marBottom w:val="120"/>
          <w:divBdr>
            <w:top w:val="none" w:sz="0" w:space="0" w:color="auto"/>
            <w:left w:val="none" w:sz="0" w:space="0" w:color="auto"/>
            <w:bottom w:val="none" w:sz="0" w:space="0" w:color="auto"/>
            <w:right w:val="none" w:sz="0" w:space="0" w:color="auto"/>
          </w:divBdr>
        </w:div>
        <w:div w:id="2008827718">
          <w:marLeft w:val="0"/>
          <w:marRight w:val="0"/>
          <w:marTop w:val="120"/>
          <w:marBottom w:val="120"/>
          <w:divBdr>
            <w:top w:val="none" w:sz="0" w:space="0" w:color="auto"/>
            <w:left w:val="none" w:sz="0" w:space="0" w:color="auto"/>
            <w:bottom w:val="none" w:sz="0" w:space="0" w:color="auto"/>
            <w:right w:val="none" w:sz="0" w:space="0" w:color="auto"/>
          </w:divBdr>
        </w:div>
        <w:div w:id="1617249940">
          <w:marLeft w:val="0"/>
          <w:marRight w:val="0"/>
          <w:marTop w:val="120"/>
          <w:marBottom w:val="120"/>
          <w:divBdr>
            <w:top w:val="none" w:sz="0" w:space="0" w:color="auto"/>
            <w:left w:val="none" w:sz="0" w:space="0" w:color="auto"/>
            <w:bottom w:val="none" w:sz="0" w:space="0" w:color="auto"/>
            <w:right w:val="none" w:sz="0" w:space="0" w:color="auto"/>
          </w:divBdr>
        </w:div>
        <w:div w:id="1120342849">
          <w:marLeft w:val="0"/>
          <w:marRight w:val="0"/>
          <w:marTop w:val="120"/>
          <w:marBottom w:val="120"/>
          <w:divBdr>
            <w:top w:val="none" w:sz="0" w:space="0" w:color="auto"/>
            <w:left w:val="none" w:sz="0" w:space="0" w:color="auto"/>
            <w:bottom w:val="none" w:sz="0" w:space="0" w:color="auto"/>
            <w:right w:val="none" w:sz="0" w:space="0" w:color="auto"/>
          </w:divBdr>
        </w:div>
        <w:div w:id="675308944">
          <w:marLeft w:val="0"/>
          <w:marRight w:val="0"/>
          <w:marTop w:val="120"/>
          <w:marBottom w:val="120"/>
          <w:divBdr>
            <w:top w:val="none" w:sz="0" w:space="0" w:color="auto"/>
            <w:left w:val="none" w:sz="0" w:space="0" w:color="auto"/>
            <w:bottom w:val="none" w:sz="0" w:space="0" w:color="auto"/>
            <w:right w:val="none" w:sz="0" w:space="0" w:color="auto"/>
          </w:divBdr>
        </w:div>
        <w:div w:id="2120172422">
          <w:marLeft w:val="0"/>
          <w:marRight w:val="0"/>
          <w:marTop w:val="120"/>
          <w:marBottom w:val="120"/>
          <w:divBdr>
            <w:top w:val="none" w:sz="0" w:space="0" w:color="auto"/>
            <w:left w:val="none" w:sz="0" w:space="0" w:color="auto"/>
            <w:bottom w:val="none" w:sz="0" w:space="0" w:color="auto"/>
            <w:right w:val="none" w:sz="0" w:space="0" w:color="auto"/>
          </w:divBdr>
        </w:div>
        <w:div w:id="150870426">
          <w:marLeft w:val="0"/>
          <w:marRight w:val="0"/>
          <w:marTop w:val="120"/>
          <w:marBottom w:val="120"/>
          <w:divBdr>
            <w:top w:val="none" w:sz="0" w:space="0" w:color="auto"/>
            <w:left w:val="none" w:sz="0" w:space="0" w:color="auto"/>
            <w:bottom w:val="none" w:sz="0" w:space="0" w:color="auto"/>
            <w:right w:val="none" w:sz="0" w:space="0" w:color="auto"/>
          </w:divBdr>
        </w:div>
        <w:div w:id="1127352118">
          <w:marLeft w:val="0"/>
          <w:marRight w:val="0"/>
          <w:marTop w:val="120"/>
          <w:marBottom w:val="120"/>
          <w:divBdr>
            <w:top w:val="none" w:sz="0" w:space="0" w:color="auto"/>
            <w:left w:val="none" w:sz="0" w:space="0" w:color="auto"/>
            <w:bottom w:val="none" w:sz="0" w:space="0" w:color="auto"/>
            <w:right w:val="none" w:sz="0" w:space="0" w:color="auto"/>
          </w:divBdr>
        </w:div>
        <w:div w:id="492332927">
          <w:marLeft w:val="0"/>
          <w:marRight w:val="0"/>
          <w:marTop w:val="120"/>
          <w:marBottom w:val="120"/>
          <w:divBdr>
            <w:top w:val="none" w:sz="0" w:space="0" w:color="auto"/>
            <w:left w:val="none" w:sz="0" w:space="0" w:color="auto"/>
            <w:bottom w:val="none" w:sz="0" w:space="0" w:color="auto"/>
            <w:right w:val="none" w:sz="0" w:space="0" w:color="auto"/>
          </w:divBdr>
        </w:div>
        <w:div w:id="140117748">
          <w:marLeft w:val="0"/>
          <w:marRight w:val="0"/>
          <w:marTop w:val="120"/>
          <w:marBottom w:val="120"/>
          <w:divBdr>
            <w:top w:val="none" w:sz="0" w:space="0" w:color="auto"/>
            <w:left w:val="none" w:sz="0" w:space="0" w:color="auto"/>
            <w:bottom w:val="none" w:sz="0" w:space="0" w:color="auto"/>
            <w:right w:val="none" w:sz="0" w:space="0" w:color="auto"/>
          </w:divBdr>
        </w:div>
        <w:div w:id="974221521">
          <w:marLeft w:val="0"/>
          <w:marRight w:val="0"/>
          <w:marTop w:val="120"/>
          <w:marBottom w:val="120"/>
          <w:divBdr>
            <w:top w:val="none" w:sz="0" w:space="0" w:color="auto"/>
            <w:left w:val="none" w:sz="0" w:space="0" w:color="auto"/>
            <w:bottom w:val="none" w:sz="0" w:space="0" w:color="auto"/>
            <w:right w:val="none" w:sz="0" w:space="0" w:color="auto"/>
          </w:divBdr>
        </w:div>
        <w:div w:id="981545633">
          <w:marLeft w:val="0"/>
          <w:marRight w:val="0"/>
          <w:marTop w:val="120"/>
          <w:marBottom w:val="120"/>
          <w:divBdr>
            <w:top w:val="none" w:sz="0" w:space="0" w:color="auto"/>
            <w:left w:val="none" w:sz="0" w:space="0" w:color="auto"/>
            <w:bottom w:val="none" w:sz="0" w:space="0" w:color="auto"/>
            <w:right w:val="none" w:sz="0" w:space="0" w:color="auto"/>
          </w:divBdr>
        </w:div>
        <w:div w:id="1943414499">
          <w:marLeft w:val="0"/>
          <w:marRight w:val="0"/>
          <w:marTop w:val="120"/>
          <w:marBottom w:val="120"/>
          <w:divBdr>
            <w:top w:val="none" w:sz="0" w:space="0" w:color="auto"/>
            <w:left w:val="none" w:sz="0" w:space="0" w:color="auto"/>
            <w:bottom w:val="none" w:sz="0" w:space="0" w:color="auto"/>
            <w:right w:val="none" w:sz="0" w:space="0" w:color="auto"/>
          </w:divBdr>
        </w:div>
        <w:div w:id="1867061421">
          <w:marLeft w:val="0"/>
          <w:marRight w:val="0"/>
          <w:marTop w:val="120"/>
          <w:marBottom w:val="120"/>
          <w:divBdr>
            <w:top w:val="none" w:sz="0" w:space="0" w:color="auto"/>
            <w:left w:val="none" w:sz="0" w:space="0" w:color="auto"/>
            <w:bottom w:val="none" w:sz="0" w:space="0" w:color="auto"/>
            <w:right w:val="none" w:sz="0" w:space="0" w:color="auto"/>
          </w:divBdr>
        </w:div>
        <w:div w:id="829254664">
          <w:marLeft w:val="0"/>
          <w:marRight w:val="0"/>
          <w:marTop w:val="120"/>
          <w:marBottom w:val="120"/>
          <w:divBdr>
            <w:top w:val="none" w:sz="0" w:space="0" w:color="auto"/>
            <w:left w:val="none" w:sz="0" w:space="0" w:color="auto"/>
            <w:bottom w:val="none" w:sz="0" w:space="0" w:color="auto"/>
            <w:right w:val="none" w:sz="0" w:space="0" w:color="auto"/>
          </w:divBdr>
        </w:div>
        <w:div w:id="385026669">
          <w:marLeft w:val="0"/>
          <w:marRight w:val="0"/>
          <w:marTop w:val="120"/>
          <w:marBottom w:val="120"/>
          <w:divBdr>
            <w:top w:val="none" w:sz="0" w:space="0" w:color="auto"/>
            <w:left w:val="none" w:sz="0" w:space="0" w:color="auto"/>
            <w:bottom w:val="none" w:sz="0" w:space="0" w:color="auto"/>
            <w:right w:val="none" w:sz="0" w:space="0" w:color="auto"/>
          </w:divBdr>
        </w:div>
        <w:div w:id="89939065">
          <w:marLeft w:val="0"/>
          <w:marRight w:val="0"/>
          <w:marTop w:val="120"/>
          <w:marBottom w:val="120"/>
          <w:divBdr>
            <w:top w:val="none" w:sz="0" w:space="0" w:color="auto"/>
            <w:left w:val="none" w:sz="0" w:space="0" w:color="auto"/>
            <w:bottom w:val="none" w:sz="0" w:space="0" w:color="auto"/>
            <w:right w:val="none" w:sz="0" w:space="0" w:color="auto"/>
          </w:divBdr>
          <w:divsChild>
            <w:div w:id="11093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2025-07-11T01:45:00Z</dcterms:created>
  <dcterms:modified xsi:type="dcterms:W3CDTF">2025-07-17T01:36:00Z</dcterms:modified>
</cp:coreProperties>
</file>