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0F72A" w14:textId="22A6CBB8" w:rsidR="006C2811" w:rsidRDefault="006C2811" w:rsidP="006C2811">
      <w:pPr>
        <w:shd w:val="clear" w:color="auto" w:fill="FFFFFF"/>
        <w:spacing w:after="120" w:line="240" w:lineRule="auto"/>
        <w:jc w:val="center"/>
        <w:rPr>
          <w:rFonts w:ascii="Times New Roman" w:eastAsia="Times New Roman" w:hAnsi="Times New Roman" w:cs="Times New Roman"/>
          <w:b/>
          <w:bCs/>
          <w:caps/>
          <w:color w:val="1A1B1C"/>
          <w:sz w:val="28"/>
          <w:szCs w:val="28"/>
        </w:rPr>
      </w:pPr>
      <w:r>
        <w:rPr>
          <w:rFonts w:ascii="Times New Roman" w:eastAsia="Times New Roman" w:hAnsi="Times New Roman" w:cs="Times New Roman"/>
          <w:b/>
          <w:bCs/>
          <w:caps/>
          <w:color w:val="1A1B1C"/>
          <w:sz w:val="28"/>
          <w:szCs w:val="28"/>
        </w:rPr>
        <w:t xml:space="preserve">CÔNG ĐOÀN VỚI CÔNG TÁC </w:t>
      </w:r>
      <w:r w:rsidR="00D403BB" w:rsidRPr="00D403BB">
        <w:rPr>
          <w:rFonts w:ascii="Times New Roman" w:eastAsia="Times New Roman" w:hAnsi="Times New Roman" w:cs="Times New Roman"/>
          <w:b/>
          <w:bCs/>
          <w:caps/>
          <w:color w:val="1A1B1C"/>
          <w:sz w:val="28"/>
          <w:szCs w:val="28"/>
        </w:rPr>
        <w:t>PHÒNG, CHỐNG</w:t>
      </w:r>
    </w:p>
    <w:p w14:paraId="593C69CB" w14:textId="6DD8DC21" w:rsidR="00D403BB" w:rsidRDefault="00D403BB" w:rsidP="006C2811">
      <w:pPr>
        <w:shd w:val="clear" w:color="auto" w:fill="FFFFFF"/>
        <w:spacing w:after="120" w:line="240" w:lineRule="auto"/>
        <w:jc w:val="center"/>
        <w:rPr>
          <w:rFonts w:ascii="Times New Roman" w:eastAsia="Times New Roman" w:hAnsi="Times New Roman" w:cs="Times New Roman"/>
          <w:b/>
          <w:bCs/>
          <w:caps/>
          <w:color w:val="1A1B1C"/>
          <w:sz w:val="28"/>
          <w:szCs w:val="28"/>
        </w:rPr>
      </w:pPr>
      <w:r w:rsidRPr="00D403BB">
        <w:rPr>
          <w:rFonts w:ascii="Times New Roman" w:eastAsia="Times New Roman" w:hAnsi="Times New Roman" w:cs="Times New Roman"/>
          <w:b/>
          <w:bCs/>
          <w:caps/>
          <w:color w:val="1A1B1C"/>
          <w:sz w:val="28"/>
          <w:szCs w:val="28"/>
        </w:rPr>
        <w:t xml:space="preserve"> TIÊU CỰC</w:t>
      </w:r>
      <w:r w:rsidR="00307F0E">
        <w:rPr>
          <w:rFonts w:ascii="Times New Roman" w:eastAsia="Times New Roman" w:hAnsi="Times New Roman" w:cs="Times New Roman"/>
          <w:b/>
          <w:bCs/>
          <w:caps/>
          <w:color w:val="1A1B1C"/>
          <w:sz w:val="28"/>
          <w:szCs w:val="28"/>
        </w:rPr>
        <w:t xml:space="preserve"> trong cơ quan, đơn</w:t>
      </w:r>
      <w:bookmarkStart w:id="0" w:name="_GoBack"/>
      <w:bookmarkEnd w:id="0"/>
      <w:r w:rsidR="00307F0E">
        <w:rPr>
          <w:rFonts w:ascii="Times New Roman" w:eastAsia="Times New Roman" w:hAnsi="Times New Roman" w:cs="Times New Roman"/>
          <w:b/>
          <w:bCs/>
          <w:caps/>
          <w:color w:val="1A1B1C"/>
          <w:sz w:val="28"/>
          <w:szCs w:val="28"/>
        </w:rPr>
        <w:t xml:space="preserve"> vị</w:t>
      </w:r>
    </w:p>
    <w:p w14:paraId="0444429E" w14:textId="7C70786B" w:rsidR="006C2811" w:rsidRPr="008E0862" w:rsidRDefault="006C2811" w:rsidP="006C2811">
      <w:pPr>
        <w:shd w:val="clear" w:color="auto" w:fill="FFFFFF"/>
        <w:spacing w:after="120" w:line="240" w:lineRule="auto"/>
        <w:jc w:val="center"/>
        <w:rPr>
          <w:rFonts w:ascii="Times New Roman" w:eastAsia="Times New Roman" w:hAnsi="Times New Roman" w:cs="Times New Roman"/>
          <w:b/>
          <w:bCs/>
          <w:i/>
          <w:caps/>
          <w:color w:val="FF0000"/>
          <w:sz w:val="24"/>
          <w:szCs w:val="24"/>
        </w:rPr>
      </w:pPr>
      <w:r w:rsidRPr="008E0862">
        <w:rPr>
          <w:rFonts w:ascii="Times New Roman" w:eastAsia="Times New Roman" w:hAnsi="Times New Roman" w:cs="Times New Roman"/>
          <w:b/>
          <w:bCs/>
          <w:i/>
          <w:caps/>
          <w:color w:val="FF0000"/>
          <w:sz w:val="24"/>
          <w:szCs w:val="24"/>
        </w:rPr>
        <w:t>( bÀI VIẾT MANG TÍNH CHẤT TUYÊN TRUYỀN)</w:t>
      </w:r>
    </w:p>
    <w:p w14:paraId="7DB367E2" w14:textId="77777777" w:rsidR="00D403BB" w:rsidRPr="00D403BB" w:rsidRDefault="00D403BB" w:rsidP="006C2811">
      <w:pPr>
        <w:shd w:val="clear" w:color="auto" w:fill="FFFFFF"/>
        <w:spacing w:after="150" w:line="375" w:lineRule="atLeast"/>
        <w:jc w:val="both"/>
        <w:rPr>
          <w:rFonts w:ascii="Arial" w:eastAsia="Times New Roman" w:hAnsi="Arial" w:cs="Arial"/>
          <w:color w:val="000000"/>
          <w:sz w:val="18"/>
          <w:szCs w:val="18"/>
        </w:rPr>
      </w:pPr>
      <w:r w:rsidRPr="00D403BB">
        <w:rPr>
          <w:rFonts w:ascii="Times New Roman" w:eastAsia="Times New Roman" w:hAnsi="Times New Roman" w:cs="Times New Roman"/>
          <w:color w:val="333333"/>
          <w:sz w:val="28"/>
          <w:szCs w:val="28"/>
        </w:rPr>
        <w:t>          Xuất phát từ yêu cầu, nhiệm vụ trong tình hình mới và với mong muốn, quyết tâm tạo bước chuyển mới, mạnh mẽ, rõ rệt hơn nữa trong công tác đấu tranh phòng, chống tham nhũng, Hội nghị Trung ương 5 khóa XI (tháng 5/2012) đã quyết định chủ trương thành lập Ban Chỉ đạo Trung ương về phòng, chống tham nhũng trực thuộc Bộ Chính trị do Tổng Bí thư làm Trưởng Ban để chỉ đạo toàn diện công tác phòng, chống tham nhũng trên phạm vi cả nước. Thực hiện chủ trương này, ngày 01/02/2013, Ban Chỉ đạo đã chính thức được thành lập và bắt đầu triển khai các hoạt động, với thành phần gồm những cán bộ lãnh đạo chủ chốt ở các cơ quan có liên quan của Đảng và Nhà nước.</w:t>
      </w:r>
    </w:p>
    <w:p w14:paraId="66A552D1" w14:textId="77777777" w:rsidR="00D403BB" w:rsidRPr="00D403BB" w:rsidRDefault="00D403BB" w:rsidP="006C2811">
      <w:pPr>
        <w:shd w:val="clear" w:color="auto" w:fill="FFFFFF"/>
        <w:spacing w:after="150" w:line="375" w:lineRule="atLeast"/>
        <w:jc w:val="both"/>
        <w:rPr>
          <w:rFonts w:ascii="Arial" w:eastAsia="Times New Roman" w:hAnsi="Arial" w:cs="Arial"/>
          <w:color w:val="000000"/>
          <w:sz w:val="18"/>
          <w:szCs w:val="18"/>
        </w:rPr>
      </w:pPr>
      <w:r w:rsidRPr="00D403BB">
        <w:rPr>
          <w:rFonts w:ascii="Times New Roman" w:eastAsia="Times New Roman" w:hAnsi="Times New Roman" w:cs="Times New Roman"/>
          <w:color w:val="333333"/>
          <w:sz w:val="28"/>
          <w:szCs w:val="28"/>
        </w:rPr>
        <w:t>         Nhìn lại chặng đường 10 năm kể từ khi thành lập Ban Chỉ đạo Trung ương về phòng, chống tham nhũng trực thuộc Bộ Chính trị, Trung ương Đảng đến nay, nhất là sau 2 năm thực hiện Nghị quyết Đại hội XIII của Đảng, mặc dù phải đối mặt với rất nhiều khó khăn, thách thức, nhưng với ý chí và tinh thần trách nhiệm cao, với sự nỗ lực phấn đấu, chung sức, đồng lòng của toàn Đảng, toàn dân, toàn quân, công tác đấu tranh phòng, chống tham nhũng, tiêu cực đã thu được nhiều kết quả quan trọng, góp phần củng cố, nâng cao ý chí, niềm tin của Nhân dân vào công cuộc đổi mới, xây dựng và bảo vệ Tổ quốc, làm cho đất nước ta ngày càng giàu mạnh, ngày càng phát triền, có vị thế xứng đáng trên trường quốc tế. Không phải như một số ý kiến cho rằng, nếu quá tập trung vào chống tham nhũng sẽ làm “nhụt chí” , “chùn bước” những người dám nghĩ, dám làm, làm “chậm” sự phát triển đất nước; mà hoàn toàn ngược lại, chính nhờ làm tốt công tác xây dựng, chỉnh đốn Đảng, đẩy mạnh đấu tranh phòng, chống tham nhũng, tiêu cực đã góp phần quan trọng thúc đẩy phát triển kinh tế - xã hội, giữ vững ổn định chính trị, tăng cường quốc phòng, an ninh và đối ngoại, đặc biệt là góp phần lấy lại và củng cố niềm tin của Nhân dân, bác bỏ luận điệu sai trái của các thế lực xấu, thù địch, chống đối cho rằng đấu tranh phòng, chống tham nhũng, xử lý cán bộ, đảng viên sai phạm là “đấu đá nội bộ”, “phe cánh”. Đẩy mạnh đấu tranh phòng, chống tham nhũng và xây dựng, làm trong sạch Đảng và bộ máy Nhà nước chỉ làm “chùn bước” những ai có động cơ không trong sáng, đã trót “nhúng chàm” và những người không nắm vững chủ trương, chính sách của Đảng, thiếu bản lĩnh, thiếu kiến thức và kinh nghiệm.</w:t>
      </w:r>
    </w:p>
    <w:p w14:paraId="6F6716BB" w14:textId="77777777" w:rsidR="00D403BB" w:rsidRPr="00D403BB" w:rsidRDefault="00D403BB" w:rsidP="006C2811">
      <w:pPr>
        <w:shd w:val="clear" w:color="auto" w:fill="FFFFFF"/>
        <w:spacing w:after="150" w:line="375" w:lineRule="atLeast"/>
        <w:jc w:val="both"/>
        <w:rPr>
          <w:rFonts w:ascii="Arial" w:eastAsia="Times New Roman" w:hAnsi="Arial" w:cs="Arial"/>
          <w:color w:val="000000"/>
          <w:sz w:val="18"/>
          <w:szCs w:val="18"/>
        </w:rPr>
      </w:pPr>
      <w:r w:rsidRPr="00D403BB">
        <w:rPr>
          <w:rFonts w:ascii="Times New Roman" w:eastAsia="Times New Roman" w:hAnsi="Times New Roman" w:cs="Times New Roman"/>
          <w:color w:val="333333"/>
          <w:sz w:val="28"/>
          <w:szCs w:val="28"/>
        </w:rPr>
        <w:lastRenderedPageBreak/>
        <w:t>         Ngày 01/8/2022, Ban Chỉ đạo Trung ương về phòng, chống tham nhũng, tiêu cực đã ban hành Hướng dẫn số 25-HD/BCĐTW về một số nội dung về công tác phòng, chống tiêu cực, trong đó nêu rõ 09 nội dung chỉ đạo công tác phòng, chống tiêu cực và 19 hành vi tiêu cực cần tập trung chỉ đạo phòng, chống.</w:t>
      </w:r>
    </w:p>
    <w:p w14:paraId="60DFF8F8" w14:textId="77777777" w:rsidR="00D403BB" w:rsidRPr="00D403BB" w:rsidRDefault="00D403BB" w:rsidP="006C2811">
      <w:pPr>
        <w:shd w:val="clear" w:color="auto" w:fill="FFFFFF"/>
        <w:spacing w:after="150" w:line="375" w:lineRule="atLeast"/>
        <w:jc w:val="both"/>
        <w:rPr>
          <w:rFonts w:ascii="Arial" w:eastAsia="Times New Roman" w:hAnsi="Arial" w:cs="Arial"/>
          <w:color w:val="000000"/>
          <w:sz w:val="18"/>
          <w:szCs w:val="18"/>
        </w:rPr>
      </w:pPr>
      <w:r w:rsidRPr="00D403BB">
        <w:rPr>
          <w:rFonts w:ascii="Times New Roman" w:eastAsia="Times New Roman" w:hAnsi="Times New Roman" w:cs="Times New Roman"/>
          <w:color w:val="333333"/>
          <w:sz w:val="28"/>
          <w:szCs w:val="28"/>
        </w:rPr>
        <w:t>          Tiêu cực của cán bộ, đảng viên, công chức, viên chức là những hành vi trái với Điều lệ, Cương lĩnh, nghị quyết, quy chế, quy định, chỉ thị, kết luận,... của Đảng (gọi chung là chủ trương, đường lối, quy định của Đảng), pháp luật của Nhà nước, Điều lệ của Mặt trận Tổ quốc Việt Nam, các tổ chức chính trị - xã hội và các tổ chức Hội do Đảng, Nhà nước giao nhiệm vụ; các chuẩn mực đạo đức, quy tắc ứng xử, truyền thống văn hóa tốt đẹp của dân tộc, gây ảnh hưởng xấu đến uy tín của Đảng, Nhà nước, làm tha hóa đội ngũ cán bộ, đảng viên, công chức, viên chức, làm giảm sút niềm tin của nhân dân, cản trở quá trình phát triển kinh tế - xã hội. Trong đó, biểu hiện rõ nét nhất của tiêu cực là suy thoái về tư tưởng chính trị, đạo đức, lối sống của cán bộ, đảng viên, công chức, viên chức, trước hết là cán bộ lãnh đạo, quản lý các cấp trong hệ thống chính trị.</w:t>
      </w:r>
    </w:p>
    <w:p w14:paraId="0B5F37CF" w14:textId="77777777" w:rsidR="00D403BB" w:rsidRPr="00D403BB" w:rsidRDefault="00D403BB" w:rsidP="006C2811">
      <w:pPr>
        <w:shd w:val="clear" w:color="auto" w:fill="FFFFFF"/>
        <w:spacing w:after="150" w:line="375" w:lineRule="atLeast"/>
        <w:jc w:val="both"/>
        <w:rPr>
          <w:rFonts w:ascii="Arial" w:eastAsia="Times New Roman" w:hAnsi="Arial" w:cs="Arial"/>
          <w:color w:val="000000"/>
          <w:sz w:val="18"/>
          <w:szCs w:val="18"/>
        </w:rPr>
      </w:pPr>
      <w:r w:rsidRPr="00D403BB">
        <w:rPr>
          <w:rFonts w:ascii="Times New Roman" w:eastAsia="Times New Roman" w:hAnsi="Times New Roman" w:cs="Times New Roman"/>
          <w:color w:val="333333"/>
          <w:sz w:val="28"/>
          <w:szCs w:val="28"/>
        </w:rPr>
        <w:t>          Tại khoản 1, điều 3 Luật phòng, chống tham nhũng năm 2018 giải thích: Tham nhũng là hành vi của người có chức vụ, quyền hạn đã lợi dụng chức vụ, quyền hạn đó vì vụ lợi.</w:t>
      </w:r>
    </w:p>
    <w:p w14:paraId="5EECC163" w14:textId="77777777" w:rsidR="00D403BB" w:rsidRPr="00D403BB" w:rsidRDefault="00D403BB" w:rsidP="006C2811">
      <w:pPr>
        <w:shd w:val="clear" w:color="auto" w:fill="FFFFFF"/>
        <w:spacing w:after="150" w:line="375" w:lineRule="atLeast"/>
        <w:jc w:val="both"/>
        <w:rPr>
          <w:rFonts w:ascii="Arial" w:eastAsia="Times New Roman" w:hAnsi="Arial" w:cs="Arial"/>
          <w:color w:val="000000"/>
          <w:sz w:val="18"/>
          <w:szCs w:val="18"/>
        </w:rPr>
      </w:pPr>
      <w:r w:rsidRPr="00D403BB">
        <w:rPr>
          <w:rFonts w:ascii="Times New Roman" w:eastAsia="Times New Roman" w:hAnsi="Times New Roman" w:cs="Times New Roman"/>
          <w:color w:val="333333"/>
          <w:sz w:val="28"/>
          <w:szCs w:val="28"/>
        </w:rPr>
        <w:t>          Đại hội XIII của Đảng đã khẳng định và bổ sung một số định hướng lớn cho công tác phòng, chống tham nhũng thời gian tới là: Kiên quyết, kiên trì đấu tranh ngăn chặn, đẩy lùi tham nhũng, tiêu cực, với quyết tâm chính trị cao hơn, hành động mạnh mẽ hơn. Kết hợp chặt chẽ giữa tích cực phòng ngừa với chủ động phát hiện, xử lý nghiêm minh, kịp thời những hành vi tham nhũng, tiêu cực, bao che, dung túng, tiếp tay cho tham nhũng, can thiệp, cản trở việc chống tham nhũng, tiêu cực; không có vùng cấm, không có ngoại lệ. Phát huy sức mạnh tổng hợp của cả hệ thống chính trị và của toàn dân; thực hiện đồng bộ các biện pháp chính trị, tư tưởng, tổ chức, hành chính, kinh tế, hình sự.</w:t>
      </w:r>
    </w:p>
    <w:p w14:paraId="3BC3CDDA" w14:textId="77777777" w:rsidR="00D403BB" w:rsidRPr="00D403BB" w:rsidRDefault="00D403BB" w:rsidP="006C2811">
      <w:pPr>
        <w:shd w:val="clear" w:color="auto" w:fill="FFFFFF"/>
        <w:spacing w:after="150" w:line="375" w:lineRule="atLeast"/>
        <w:jc w:val="both"/>
        <w:rPr>
          <w:rFonts w:ascii="Arial" w:eastAsia="Times New Roman" w:hAnsi="Arial" w:cs="Arial"/>
          <w:color w:val="000000"/>
          <w:sz w:val="18"/>
          <w:szCs w:val="18"/>
        </w:rPr>
      </w:pPr>
      <w:r w:rsidRPr="00D403BB">
        <w:rPr>
          <w:rFonts w:ascii="Times New Roman" w:eastAsia="Times New Roman" w:hAnsi="Times New Roman" w:cs="Times New Roman"/>
          <w:color w:val="333333"/>
          <w:sz w:val="28"/>
          <w:szCs w:val="28"/>
        </w:rPr>
        <w:t xml:space="preserve">          Tiếp tục đẩy mạnh, nâng cao hiệu quả công tác giáo dục, tuyên truyền, tạo sự tự giác, thống nhất cao về nhận thức và hành động trong cán bộ, đảng viên và nhân dân về phòng, chống tham nhũng, tiêu cực, trước hết là sự gương mẫu, quyết liệt của người đứng đầu cấp uỷ, cơ quan, tổ chức, đơn vị, địa phương; kiên trì giáo dục, rèn </w:t>
      </w:r>
      <w:r w:rsidRPr="00D403BB">
        <w:rPr>
          <w:rFonts w:ascii="Times New Roman" w:eastAsia="Times New Roman" w:hAnsi="Times New Roman" w:cs="Times New Roman"/>
          <w:color w:val="333333"/>
          <w:sz w:val="28"/>
          <w:szCs w:val="28"/>
        </w:rPr>
        <w:lastRenderedPageBreak/>
        <w:t>luyện đức tính liêm khiết; xây dựng văn hoá tiết kiệm, không tham nhũng, lãng phí, trước hết trong cán bộ, đảng viên, công chức, viên chức.</w:t>
      </w:r>
    </w:p>
    <w:p w14:paraId="61BD0AB2" w14:textId="77777777" w:rsidR="00D403BB" w:rsidRPr="00D403BB" w:rsidRDefault="00D403BB" w:rsidP="006C2811">
      <w:pPr>
        <w:shd w:val="clear" w:color="auto" w:fill="FFFFFF"/>
        <w:spacing w:after="150" w:line="375" w:lineRule="atLeast"/>
        <w:jc w:val="both"/>
        <w:rPr>
          <w:rFonts w:ascii="Arial" w:eastAsia="Times New Roman" w:hAnsi="Arial" w:cs="Arial"/>
          <w:color w:val="000000"/>
          <w:sz w:val="18"/>
          <w:szCs w:val="18"/>
        </w:rPr>
      </w:pPr>
      <w:r w:rsidRPr="00D403BB">
        <w:rPr>
          <w:rFonts w:ascii="Times New Roman" w:eastAsia="Times New Roman" w:hAnsi="Times New Roman" w:cs="Times New Roman"/>
          <w:color w:val="333333"/>
          <w:sz w:val="28"/>
          <w:szCs w:val="28"/>
        </w:rPr>
        <w:t>          Đẩy mạnh việc xây dựng, hoàn thiện các quy định của Đảng, pháp luật của Nhà nước về kinh tế - xã hội; về kiểm tra, giám sát và phòng, chống tham nhũng, tiêu cực; trước hết là sự gương mẫu, quyết liệt của người đứng đầu cấp uỷ, cơ quan, tổ chức, đơn vị, địa phương; kiên trì giáo dục, rèn luyện đức tính liêm khiết, xây dựng văn hoá tiết kiệm, không tham nhũng, trước hết trong cán bộ, đảng viên, công chức, viên chức.</w:t>
      </w:r>
    </w:p>
    <w:p w14:paraId="2C503B16" w14:textId="77777777" w:rsidR="00D403BB" w:rsidRPr="00D403BB" w:rsidRDefault="00D403BB" w:rsidP="006C2811">
      <w:pPr>
        <w:shd w:val="clear" w:color="auto" w:fill="FFFFFF"/>
        <w:spacing w:after="150" w:line="375" w:lineRule="atLeast"/>
        <w:jc w:val="both"/>
        <w:rPr>
          <w:rFonts w:ascii="Arial" w:eastAsia="Times New Roman" w:hAnsi="Arial" w:cs="Arial"/>
          <w:color w:val="000000"/>
          <w:sz w:val="18"/>
          <w:szCs w:val="18"/>
        </w:rPr>
      </w:pPr>
      <w:r w:rsidRPr="00D403BB">
        <w:rPr>
          <w:rFonts w:ascii="Times New Roman" w:eastAsia="Times New Roman" w:hAnsi="Times New Roman" w:cs="Times New Roman"/>
          <w:color w:val="333333"/>
          <w:sz w:val="28"/>
          <w:szCs w:val="28"/>
        </w:rPr>
        <w:t>          Tăng cường công tác kiểm tra, giám sát, thanh tra, kiểm toán, điều tra, truy tố, xét xử, thi hành án; phát hiện sớm, xử lý nghiêm các vụ việc, vụ án tham nhũng, tiêu cực; kiên quyết thu hồi tài sản tham nhũng; kịp thời xử lý, thay thế những cán bộ lãnh đạo, quản lý có biểu hiện nhũng nhiễu, vòi vĩnh, gây phiền hà cho người dân, doanh nghiệp. Tiếp tục kiện toàn tổ chức bộ máy, cán bộ, bảo đảm thật sự liêm chính, trong sạch; nâng cao năng lực, hiệu quả hoạt động của các cơ quan, đơn vị có chức năng phòng, chống tham nhũng và các cơ quan tham mưu cho cấp ủy lãnh đạo, chỉ đạo công tác này. Từng bước mở rộng phạm vi phòng, chống tham nhũng ra khu vực ngoài nhà nước; mở rộng và nâng cao hiệu quả hợp tác quốc tế về phòng, chống tham nhũng. Phát huy vai trò, trách nhiệm của các cơ quan và đại biểu dân cử, Mặt trận Tổ quốc Việt Nam, các tổ chức chính trị - xã hội, Nhân dân và cơ quan truyền thông, báo chí trong đấu tranh phòng, chống tham nhũng, tiêu cực...</w:t>
      </w:r>
    </w:p>
    <w:p w14:paraId="1CF78E77" w14:textId="77777777" w:rsidR="00D403BB" w:rsidRPr="00D403BB" w:rsidRDefault="00D403BB" w:rsidP="006C2811">
      <w:pPr>
        <w:shd w:val="clear" w:color="auto" w:fill="FFFFFF"/>
        <w:spacing w:after="150" w:line="375" w:lineRule="atLeast"/>
        <w:jc w:val="both"/>
        <w:rPr>
          <w:rFonts w:ascii="Arial" w:eastAsia="Times New Roman" w:hAnsi="Arial" w:cs="Arial"/>
          <w:color w:val="000000"/>
          <w:sz w:val="18"/>
          <w:szCs w:val="18"/>
        </w:rPr>
      </w:pPr>
      <w:r w:rsidRPr="00D403BB">
        <w:rPr>
          <w:rFonts w:ascii="Times New Roman" w:eastAsia="Times New Roman" w:hAnsi="Times New Roman" w:cs="Times New Roman"/>
          <w:color w:val="333333"/>
          <w:sz w:val="28"/>
          <w:szCs w:val="28"/>
        </w:rPr>
        <w:t>          Nhà nước pháp quyền xã hội chủ nghĩa Việt Nam của Nhân dân, do Nhân dân, vì Nhân dân do Đảng lãnh đạo. Nhân dân là trung tâm, là chủ thể của công cuộc đổi mới, xây dựng và bảo vệ Tổ quốc. Đảng gắn bó mật thiết với Nhân dân, dựa vào Nhân dân để xây dựng Đảng. Mọi chủ trương, chính sách đều phải xuất phát từ cuộc sống, nguyện vọng, quyền và lợi ích chính đáng của Nhân dân; lấy hạnh phúc, ấm no của Nhân dân làm mục tiêu phấn đấu; kiên quyết, kiên trì đấu tranh phòng, chống tham nhũng, lãng phí.</w:t>
      </w:r>
    </w:p>
    <w:p w14:paraId="03F1A891" w14:textId="140A46B7" w:rsidR="00DB6D45" w:rsidRPr="008E0862" w:rsidRDefault="00D403BB" w:rsidP="008E0862">
      <w:pPr>
        <w:shd w:val="clear" w:color="auto" w:fill="FFFFFF"/>
        <w:spacing w:after="150" w:line="375" w:lineRule="atLeast"/>
        <w:jc w:val="both"/>
        <w:rPr>
          <w:rFonts w:ascii="Arial" w:eastAsia="Times New Roman" w:hAnsi="Arial" w:cs="Arial"/>
          <w:color w:val="000000"/>
          <w:sz w:val="18"/>
          <w:szCs w:val="18"/>
        </w:rPr>
      </w:pPr>
      <w:r w:rsidRPr="00D403BB">
        <w:rPr>
          <w:rFonts w:ascii="Times New Roman" w:eastAsia="Times New Roman" w:hAnsi="Times New Roman" w:cs="Times New Roman"/>
          <w:color w:val="333333"/>
          <w:sz w:val="28"/>
          <w:szCs w:val="28"/>
        </w:rPr>
        <w:t>          UBND phường kêu gọi toàn thể người dân trên địa bàn hãy tích cực tham gia công tác phòng, chống tham nhũng, tiêu cực, kịp thời phản ánh, tố cáo các hành vi tiêu cực, tham nhũng; cùng đồng thuận với cơ quan công quyền trong đấu tranh phòng, chống tham nhũng, tiêu cực nhằm góp phần xây dựng Nhà nước kiến tạo, chính phủ liêm chính, hành động, phục vụ Nhân dân./.</w:t>
      </w:r>
    </w:p>
    <w:sectPr w:rsidR="00DB6D45" w:rsidRPr="008E0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45"/>
    <w:rsid w:val="00307F0E"/>
    <w:rsid w:val="006C2811"/>
    <w:rsid w:val="008E0862"/>
    <w:rsid w:val="00D403BB"/>
    <w:rsid w:val="00DB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8450"/>
  <w15:chartTrackingRefBased/>
  <w15:docId w15:val="{01B96A10-2C58-4C09-B497-DA87F672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39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2025-01-08T02:22:00Z</dcterms:created>
  <dcterms:modified xsi:type="dcterms:W3CDTF">2025-01-08T03:29:00Z</dcterms:modified>
</cp:coreProperties>
</file>