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1A20" w:rsidRDefault="00711A20" w:rsidP="00711A20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59: PHÉP CỘNG (KHÔNG NHỚ) TRONG PHẠM VI 1000 </w:t>
      </w:r>
    </w:p>
    <w:p w:rsidR="00711A20" w:rsidRDefault="00711A20" w:rsidP="00711A20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11A20" w:rsidRDefault="00711A20" w:rsidP="00711A20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11A20" w:rsidRDefault="00711A20" w:rsidP="00711A20">
      <w:pPr>
        <w:spacing w:after="0" w:line="36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HS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cộng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vi 1 000)</w:t>
      </w:r>
    </w:p>
    <w:p w:rsidR="00711A20" w:rsidRDefault="00711A20" w:rsidP="00711A20">
      <w:pPr>
        <w:spacing w:after="0" w:line="36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cột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lượt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cộng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chục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trăm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11A20" w:rsidRDefault="00711A20" w:rsidP="00711A20">
      <w:pPr>
        <w:spacing w:after="0" w:line="36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cộng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11A20" w:rsidRDefault="00711A20" w:rsidP="00711A20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</w:p>
    <w:p w:rsidR="00711A20" w:rsidRDefault="00711A20" w:rsidP="00711A20">
      <w:pPr>
        <w:spacing w:after="0" w:line="36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nhằm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11A20" w:rsidRDefault="00711A20" w:rsidP="00711A20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3.Phẩm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711A20" w:rsidRDefault="00711A20" w:rsidP="00711A20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Rèn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luyện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tính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cẩn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nhẹn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A20" w:rsidRDefault="00711A20" w:rsidP="00711A20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1A20" w:rsidRDefault="00711A20" w:rsidP="00711A20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GV: BGĐT</w:t>
      </w:r>
      <w:r>
        <w:rPr>
          <w:rFonts w:ascii="Times New Roman" w:hAnsi="Times New Roman" w:cs="Times New Roman"/>
          <w:sz w:val="28"/>
          <w:szCs w:val="28"/>
          <w:lang w:val="vi-VN"/>
        </w:rPr>
        <w:t>, m</w:t>
      </w:r>
      <w:proofErr w:type="spellStart"/>
      <w:r>
        <w:rPr>
          <w:rFonts w:ascii="Times New Roman" w:hAnsi="Times New Roman" w:cs="Times New Roman"/>
          <w:sz w:val="28"/>
          <w:szCs w:val="28"/>
        </w:rPr>
        <w:t>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1A20" w:rsidRDefault="00711A20" w:rsidP="00711A20">
      <w:pPr>
        <w:spacing w:after="0"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Các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503"/>
      </w:tblGrid>
      <w:tr w:rsidR="00711A20" w:rsidTr="00711A2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20" w:rsidRDefault="00711A20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GV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20" w:rsidRDefault="00711A20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HS</w:t>
            </w:r>
          </w:p>
        </w:tc>
      </w:tr>
      <w:tr w:rsidR="00711A20" w:rsidTr="00711A2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0" w:rsidRDefault="00711A20">
            <w:pPr>
              <w:spacing w:after="0" w:line="360" w:lineRule="atLeast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(2- 3’)</w:t>
            </w:r>
          </w:p>
          <w:p w:rsidR="00711A20" w:rsidRDefault="00711A20">
            <w:pPr>
              <w:tabs>
                <w:tab w:val="left" w:pos="1875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</w:p>
          <w:p w:rsidR="00711A20" w:rsidRDefault="00711A20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2. HĐ 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 xml:space="preserve">khám phá 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(11-13’)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MH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dắt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GVHD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: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Mai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Việt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Muốn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Rô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bốt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tắc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SGK).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tắc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       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  264 + 312 = 576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- YC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 – 3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2. HĐ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(15-17’)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GV chiếu các bài tập lên màn hình.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1/80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(6-7’) 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*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KT: P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hép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vi 1000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Lưu ý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YC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ô li.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khăn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Khi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KQ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KT: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KQ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PC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2/80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(5-6’)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*KT: P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hép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vi 1000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Lưu ý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YC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ô li.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Soi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–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khăn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Khi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KT: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3/80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(5-6’)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* KT: Giải bài toán có lời văn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dắt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HS QS MH. 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Thuyền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mèo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vớt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bn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chai?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Thuyền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vớt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(1-2’)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KT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? 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vi 1000).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hát và vận động theo nhạc.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lắng nghe.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Mai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Việt.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: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+ 264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trang</w:t>
            </w:r>
            <w:proofErr w:type="spellEnd"/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+ 312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trang</w:t>
            </w:r>
            <w:proofErr w:type="spellEnd"/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264 + 312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= ?</w:t>
            </w:r>
            <w:proofErr w:type="gramEnd"/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dõi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</w:p>
          <w:p w:rsidR="00711A20" w:rsidRP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Và tính.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tbl>
            <w:tblPr>
              <w:tblpPr w:leftFromText="180" w:rightFromText="180" w:bottomFromText="160" w:vertAnchor="text" w:horzAnchor="margin" w:tblpY="-58"/>
              <w:tblOverlap w:val="never"/>
              <w:tblW w:w="4605" w:type="dxa"/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260"/>
              <w:gridCol w:w="577"/>
              <w:gridCol w:w="3768"/>
            </w:tblGrid>
            <w:tr w:rsidR="00711A20">
              <w:trPr>
                <w:trHeight w:val="429"/>
              </w:trPr>
              <w:tc>
                <w:tcPr>
                  <w:tcW w:w="260" w:type="dxa"/>
                  <w:vMerge w:val="restart"/>
                  <w:vAlign w:val="center"/>
                  <w:hideMark/>
                </w:tcPr>
                <w:p w:rsidR="00711A20" w:rsidRDefault="00711A20">
                  <w:pPr>
                    <w:spacing w:after="0" w:line="360" w:lineRule="atLeast"/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+ </w:t>
                  </w:r>
                </w:p>
              </w:tc>
              <w:tc>
                <w:tcPr>
                  <w:tcW w:w="577" w:type="dxa"/>
                  <w:hideMark/>
                </w:tcPr>
                <w:p w:rsidR="00711A20" w:rsidRDefault="00711A20">
                  <w:pPr>
                    <w:spacing w:after="0" w:line="360" w:lineRule="atLeast"/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  <w:t>264</w:t>
                  </w:r>
                </w:p>
              </w:tc>
              <w:tc>
                <w:tcPr>
                  <w:tcW w:w="3767" w:type="dxa"/>
                  <w:vMerge w:val="restart"/>
                  <w:hideMark/>
                </w:tcPr>
                <w:p w:rsidR="00711A20" w:rsidRDefault="00711A20">
                  <w:pPr>
                    <w:spacing w:after="0" w:line="360" w:lineRule="atLeast"/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  *  4 </w:t>
                  </w:r>
                  <w:proofErr w:type="spellStart"/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  <w:t>cộng</w:t>
                  </w:r>
                  <w:proofErr w:type="spellEnd"/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 2 </w:t>
                  </w:r>
                  <w:proofErr w:type="spellStart"/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  <w:t>bằng</w:t>
                  </w:r>
                  <w:proofErr w:type="spellEnd"/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 6, </w:t>
                  </w:r>
                  <w:proofErr w:type="spellStart"/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  <w:t>viết</w:t>
                  </w:r>
                  <w:proofErr w:type="spellEnd"/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 6.    </w:t>
                  </w:r>
                </w:p>
                <w:p w:rsidR="00711A20" w:rsidRDefault="00711A20">
                  <w:pPr>
                    <w:spacing w:after="0" w:line="360" w:lineRule="atLeast"/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  * 6 </w:t>
                  </w:r>
                  <w:proofErr w:type="spellStart"/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  <w:t>cộng</w:t>
                  </w:r>
                  <w:proofErr w:type="spellEnd"/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 1 </w:t>
                  </w:r>
                  <w:proofErr w:type="spellStart"/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  <w:t>bằng</w:t>
                  </w:r>
                  <w:proofErr w:type="spellEnd"/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 7, </w:t>
                  </w:r>
                  <w:proofErr w:type="spellStart"/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  <w:t>viết</w:t>
                  </w:r>
                  <w:proofErr w:type="spellEnd"/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 7.</w:t>
                  </w:r>
                </w:p>
                <w:p w:rsidR="00711A20" w:rsidRDefault="00711A20">
                  <w:pPr>
                    <w:spacing w:after="0" w:line="360" w:lineRule="atLeast"/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  * 2 </w:t>
                  </w:r>
                  <w:proofErr w:type="spellStart"/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  <w:t>cộng</w:t>
                  </w:r>
                  <w:proofErr w:type="spellEnd"/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 3 </w:t>
                  </w:r>
                  <w:proofErr w:type="spellStart"/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  <w:t>bằng</w:t>
                  </w:r>
                  <w:proofErr w:type="spellEnd"/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 5, </w:t>
                  </w:r>
                  <w:proofErr w:type="spellStart"/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  <w:t>viết</w:t>
                  </w:r>
                  <w:proofErr w:type="spellEnd"/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 5.</w:t>
                  </w:r>
                </w:p>
              </w:tc>
            </w:tr>
            <w:tr w:rsidR="00711A20">
              <w:trPr>
                <w:trHeight w:val="652"/>
              </w:trPr>
              <w:tc>
                <w:tcPr>
                  <w:tcW w:w="260" w:type="dxa"/>
                  <w:vMerge/>
                  <w:vAlign w:val="center"/>
                  <w:hideMark/>
                </w:tcPr>
                <w:p w:rsidR="00711A20" w:rsidRDefault="00711A20">
                  <w:pPr>
                    <w:spacing w:after="0" w:line="256" w:lineRule="auto"/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711A20" w:rsidRDefault="00711A20">
                  <w:pPr>
                    <w:spacing w:after="0" w:line="360" w:lineRule="atLeast"/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  <w:t>312</w:t>
                  </w:r>
                </w:p>
              </w:tc>
              <w:tc>
                <w:tcPr>
                  <w:tcW w:w="3767" w:type="dxa"/>
                  <w:vMerge/>
                  <w:vAlign w:val="center"/>
                  <w:hideMark/>
                </w:tcPr>
                <w:p w:rsidR="00711A20" w:rsidRDefault="00711A20">
                  <w:pPr>
                    <w:spacing w:after="0" w:line="256" w:lineRule="auto"/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</w:tr>
            <w:tr w:rsidR="00711A20">
              <w:trPr>
                <w:trHeight w:val="309"/>
              </w:trPr>
              <w:tc>
                <w:tcPr>
                  <w:tcW w:w="260" w:type="dxa"/>
                </w:tcPr>
                <w:p w:rsidR="00711A20" w:rsidRDefault="00711A20">
                  <w:pPr>
                    <w:spacing w:after="0" w:line="360" w:lineRule="atLeast"/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711A20" w:rsidRDefault="00711A20">
                  <w:pPr>
                    <w:spacing w:after="0" w:line="360" w:lineRule="atLeast"/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  <w:t>576</w:t>
                  </w:r>
                </w:p>
              </w:tc>
              <w:tc>
                <w:tcPr>
                  <w:tcW w:w="3767" w:type="dxa"/>
                  <w:vMerge/>
                  <w:vAlign w:val="center"/>
                  <w:hideMark/>
                </w:tcPr>
                <w:p w:rsidR="00711A20" w:rsidRDefault="00711A20">
                  <w:pPr>
                    <w:spacing w:after="0" w:line="256" w:lineRule="auto"/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</w:tr>
          </w:tbl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- 2 – 3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P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lắng nghe.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- 4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- 4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 – 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: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DKCTL: 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Thuyền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mèo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vớt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478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Thuyền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vớt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457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Thuyền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mèo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11A20" w:rsidRDefault="00711A2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HS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lắng nghe.</w:t>
            </w:r>
          </w:p>
        </w:tc>
      </w:tr>
    </w:tbl>
    <w:p w:rsidR="00711A20" w:rsidRDefault="00711A20" w:rsidP="00711A20">
      <w:pPr>
        <w:spacing w:after="0" w:line="36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*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06985" w:rsidRDefault="00711A20" w:rsidP="00711A20"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sectPr w:rsidR="0040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20"/>
    <w:rsid w:val="00406985"/>
    <w:rsid w:val="00711A20"/>
    <w:rsid w:val="00B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54D9C"/>
  <w15:chartTrackingRefBased/>
  <w15:docId w15:val="{9DCC8581-A132-4E9A-9EBB-8D36E8C5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A20"/>
    <w:pPr>
      <w:spacing w:line="252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2025-04-01T12:52:00Z</dcterms:created>
  <dcterms:modified xsi:type="dcterms:W3CDTF">2025-04-01T12:55:00Z</dcterms:modified>
</cp:coreProperties>
</file>