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702" w:rsidRDefault="000653E5" w:rsidP="000653E5">
      <w:pPr>
        <w:jc w:val="center"/>
        <w:rPr>
          <w:b/>
          <w:lang w:val="vi-VN"/>
        </w:rPr>
      </w:pPr>
      <w:bookmarkStart w:id="0" w:name="_GoBack"/>
      <w:bookmarkEnd w:id="0"/>
      <w:r w:rsidRPr="000653E5">
        <w:rPr>
          <w:b/>
          <w:lang w:val="vi-VN"/>
        </w:rPr>
        <w:t>Giới thiệu Văn bản pháp luật có hiệu lực trong tháng 6 và tháng 7 năm 2025</w:t>
      </w:r>
    </w:p>
    <w:p w:rsidR="000653E5" w:rsidRPr="000653E5" w:rsidRDefault="000653E5" w:rsidP="000653E5">
      <w:pPr>
        <w:ind w:firstLine="630"/>
        <w:jc w:val="both"/>
        <w:rPr>
          <w:b/>
          <w:bCs/>
        </w:rPr>
      </w:pPr>
      <w:r>
        <w:rPr>
          <w:b/>
          <w:bCs/>
          <w:lang w:val="vi-VN"/>
        </w:rPr>
        <w:t>1. Năm</w:t>
      </w:r>
      <w:r w:rsidRPr="000653E5">
        <w:rPr>
          <w:b/>
          <w:bCs/>
        </w:rPr>
        <w:t xml:space="preserve"> năm cho các cơ chế đặc thù về phát triển nhà ở xã hội </w:t>
      </w:r>
      <w:r>
        <w:rPr>
          <w:b/>
          <w:bCs/>
          <w:lang w:val="vi-VN"/>
        </w:rPr>
        <w:t>t</w:t>
      </w:r>
      <w:r w:rsidRPr="000653E5">
        <w:rPr>
          <w:b/>
          <w:bCs/>
        </w:rPr>
        <w:t>ừ 01/6/2025</w:t>
      </w:r>
      <w:r w:rsidRPr="000653E5">
        <w:rPr>
          <w:b/>
          <w:bCs/>
          <w:lang w:val="vi-VN"/>
        </w:rPr>
        <w:t>:</w:t>
      </w:r>
    </w:p>
    <w:p w:rsidR="000653E5" w:rsidRDefault="000653E5" w:rsidP="000653E5">
      <w:pPr>
        <w:ind w:firstLine="630"/>
        <w:jc w:val="both"/>
        <w:rPr>
          <w:bCs/>
          <w:lang w:val="vi-VN"/>
        </w:rPr>
      </w:pPr>
      <w:r w:rsidRPr="000653E5">
        <w:rPr>
          <w:bCs/>
        </w:rPr>
        <w:t>Nghị quyết số 201/2025/QH15 ngày 29/5/2025 của Quốc hội thí điểm về một số cơ chế, chính sách đặc thù phát triển nhà ở xã hội chính thức có hiệu lực từ hôm nay, 01/6/2025. Nghị quyết quy định thí điểm một số cơ chế, chính sách đặc thù phát triển nhà ở xã hội trên phạm vi toàn quốc, bao gồm: Quỹ Nhà ở quốc gia;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 lập, thẩm định, phê duyệt, điều chỉnh quy hoạch chi tiết dự án đầu tư xây dựng nhà ở xã hội; thủ tục đầu tư xây dựng nhà ở xã hội; xác định giá bán, giá thuê mua nhà ở xã hội; điều kiện về nhà ở để được hưởng chính sách hỗ trợ về nhà ở xã hội; thuê nhà ở xã hội, nhà lưu trú công nhân trong khu công nghiệp; bồi thường, hỗ trợ, tái định cư, đầu tư hệ thống hạ tầng kỹ thuật, tạo quỹ đất phát triển nhà ở xã hội.</w:t>
      </w:r>
    </w:p>
    <w:p w:rsidR="000653E5" w:rsidRPr="000653E5" w:rsidRDefault="000653E5" w:rsidP="000653E5">
      <w:pPr>
        <w:ind w:firstLine="630"/>
        <w:jc w:val="both"/>
        <w:rPr>
          <w:lang w:val="vi-VN"/>
        </w:rPr>
      </w:pPr>
      <w:r w:rsidRPr="000653E5">
        <w:rPr>
          <w:lang w:val="vi-VN"/>
        </w:rPr>
        <w:t xml:space="preserve">Theo đánh giá, cơ chế đặc thù nổi bật là quy định về Quỹ nhà ở quốc gia - là quỹ tài chính nhà nước ngoài ngân sách, có tư cách pháp nhân, hoạt động không vì mục đích lợi nhuận. Quỹ nhà ở quốc gia được hình thành từ nguồn ngân sách nhà nước cấp, tiền trích từ số tiền tương đương giá trị quỹ đất đã đầu tư xây dựng hệ thống hạ tầng kỹ thuật để xây dựng nhà ở xã hội theo quy định của pháp luật về nhà ở, từ tiền bán nhà ở thuộc tài sản công, từ tiền đấu giá quyền sử dụng đất; tiếp nhận nguồn hỗ trợ tự nguyện, nguồn đóng góp của tổ chức, cá nhân trong nước, ngoài nước và nguồn huy động hợp pháp khác.Quỹ nhà ở quốc gia để đầu tư xây dựng nhà ở xã hội, đầu tư xây dựng hạ tầng kỹ thuật, hạ tầng xã hội của dự án đầu tư xây dựng nhà ở xã hội, tạo lập nhà ở xã hội để cho thuê, nhà ở cho cán bộ, công chức, viên chức, người lao động thuê. </w:t>
      </w:r>
    </w:p>
    <w:p w:rsidR="000653E5" w:rsidRPr="000653E5" w:rsidRDefault="000653E5" w:rsidP="000653E5">
      <w:pPr>
        <w:ind w:firstLine="630"/>
        <w:jc w:val="both"/>
        <w:rPr>
          <w:lang w:val="vi-VN"/>
        </w:rPr>
      </w:pPr>
      <w:r w:rsidRPr="000653E5">
        <w:rPr>
          <w:lang w:val="vi-VN"/>
        </w:rPr>
        <w:t>Cùng với đó, Nghị quyết đề xuất nhiều chính sách đặc thù để phát triển nhà ở xã hội, có thể điểm một vài cơ chế như:</w:t>
      </w:r>
    </w:p>
    <w:p w:rsidR="000653E5" w:rsidRPr="000653E5" w:rsidRDefault="000653E5" w:rsidP="000653E5">
      <w:pPr>
        <w:ind w:firstLine="630"/>
        <w:jc w:val="both"/>
        <w:rPr>
          <w:lang w:val="vi-VN"/>
        </w:rPr>
      </w:pPr>
      <w:r w:rsidRPr="000653E5">
        <w:rPr>
          <w:lang w:val="vi-VN"/>
        </w:rPr>
        <w:t>(1) Việc lập, thẩm định, phê duyệt, điều chỉnh quy hoạch chi tiết dự án đầu tư xây dựng nhà ở xã hội, nghị quyết quy định rõ dự án đầu tư xây dựng, vị trí khu đất để đầu tư xây dựng nhà ở xã hội chưa có quy hoạch chi tiết đã được cơ quan có thẩm quyền phê duyệt hoặc có yêu cầu điều chỉnh quy hoạch chi tiết thì không phải thực hiện thủ tục lập, thẩm định, phê duyệt, điều chỉnh nhiệm vụ quy hoạch chi tiết.</w:t>
      </w:r>
    </w:p>
    <w:p w:rsidR="000653E5" w:rsidRPr="000653E5" w:rsidRDefault="000653E5" w:rsidP="000653E5">
      <w:pPr>
        <w:ind w:firstLine="630"/>
        <w:jc w:val="both"/>
        <w:rPr>
          <w:lang w:val="vi-VN"/>
        </w:rPr>
      </w:pPr>
      <w:r w:rsidRPr="000653E5">
        <w:rPr>
          <w:lang w:val="vi-VN"/>
        </w:rPr>
        <w:lastRenderedPageBreak/>
        <w:t>(2) Về thủ tục đầu tư xây dựng nhà ở xã hội, nghị quyết quy định: dự án đầu tư xây dựng nhà ở xã hội không phải thực hiện thẩm định báo cáo nghiên cứu khả thi đầu tư xây dựng tại cơ quan chuyên môn về xây dựng theo quy định của pháp luật về xây dựng. Chủ đầu tư, người quyết định đầu tư tự tổ chức thẩm định, phê duyệt báo cáo nghiên cứu khả thi và chịu trách nhiệm bảo đảm tuân thủ quy định của pháp luật về xây dựng.</w:t>
      </w:r>
    </w:p>
    <w:p w:rsidR="000653E5" w:rsidRPr="000653E5" w:rsidRDefault="000653E5" w:rsidP="000653E5">
      <w:pPr>
        <w:ind w:firstLine="630"/>
        <w:jc w:val="both"/>
        <w:rPr>
          <w:lang w:val="vi-VN"/>
        </w:rPr>
      </w:pPr>
      <w:r w:rsidRPr="000653E5">
        <w:rPr>
          <w:lang w:val="vi-VN"/>
        </w:rPr>
        <w:t>(3) Căn cứ phương pháp xác định giá bán, giá thuê mua nhà ở xã hội và lợi nhuận định mức theo quy định của pháp luật về nhà ở, chủ đầu tư tự xây dựng, thuê tư vấn có đủ điều kiện năng lực về hoạt động xây dựng để thẩm tra trước khi chủ đầu tư phê duyệt giá bán, giá thuê mua nhà ở xã hội.</w:t>
      </w:r>
    </w:p>
    <w:p w:rsidR="000653E5" w:rsidRPr="000653E5" w:rsidRDefault="000653E5" w:rsidP="000653E5">
      <w:pPr>
        <w:ind w:firstLine="630"/>
        <w:jc w:val="both"/>
        <w:rPr>
          <w:lang w:val="vi-VN"/>
        </w:rPr>
      </w:pPr>
      <w:r w:rsidRPr="000653E5">
        <w:rPr>
          <w:lang w:val="vi-VN"/>
        </w:rPr>
        <w:t>Trường hợp giá bán, giá thuê mua nhà ở xã hội theo kiểm toán, quyết toán cao hơn giá bán, giá thuê mua nhà ở xã hội do chủ đầu tư đã ký hợp đồng thì chủ đầu tư không được thu thêm phần chênh lệch của người mua, thuê mua nhà ở xã hội; trường hợp thấp hơn thì chủ đầu tư phải hoàn trả lại phần chênh lệch cho người mua, thuê mua nhà ở xã hội.</w:t>
      </w:r>
    </w:p>
    <w:p w:rsidR="000653E5" w:rsidRPr="000653E5" w:rsidRDefault="000653E5" w:rsidP="000653E5">
      <w:pPr>
        <w:ind w:firstLine="630"/>
        <w:jc w:val="both"/>
        <w:rPr>
          <w:lang w:val="vi-VN"/>
        </w:rPr>
      </w:pPr>
      <w:r w:rsidRPr="000653E5">
        <w:rPr>
          <w:lang w:val="vi-VN"/>
        </w:rPr>
        <w:t xml:space="preserve"> (4) Về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đối với đối tượng được mua, thuê mua nhà ở xã hội theo quy định của Luật Nhà ở.</w:t>
      </w:r>
    </w:p>
    <w:p w:rsidR="000653E5" w:rsidRPr="000653E5" w:rsidRDefault="000653E5" w:rsidP="000653E5">
      <w:pPr>
        <w:ind w:firstLine="630"/>
        <w:jc w:val="both"/>
        <w:rPr>
          <w:lang w:val="vi-VN"/>
        </w:rPr>
      </w:pPr>
      <w:r w:rsidRPr="000653E5">
        <w:rPr>
          <w:lang w:val="vi-VN"/>
        </w:rPr>
        <w:t>Trường hợp đối tượng được hưởng chính sách hỗ trợ về nhà ở xã hội theo quy định của pháp luật vô nhà ở có địa điểm làm việc cách xa nơi ở của mình thì điều kiện về nhà ở để được mua, thuê mua nhà ở xã hội là chưa được mua hoặc thuê mua nhà ở xã hội, chưa có nhà ở thuộc sở hữu của mình hoặc có nhà ở thuộc sở hữu của mình nhưng cách xa địa điểm làm việc. Căn cứ điều kiện thực tế của địa phương, Ủy ban nhân dân cấp tỉnh quy định chi tiết về trường hợp có nhà ở thuộc sở hữu của mình nhưng cách xa địa điểm làm việc được hưởng chính sách hỗ trợ về nhà ở xã hội.</w:t>
      </w:r>
    </w:p>
    <w:p w:rsidR="000653E5" w:rsidRPr="000653E5" w:rsidRDefault="000653E5" w:rsidP="000653E5">
      <w:pPr>
        <w:ind w:firstLine="630"/>
        <w:jc w:val="both"/>
        <w:rPr>
          <w:lang w:val="vi-VN"/>
        </w:rPr>
      </w:pPr>
      <w:r w:rsidRPr="000653E5">
        <w:rPr>
          <w:lang w:val="vi-VN"/>
        </w:rPr>
        <w:lastRenderedPageBreak/>
        <w:t>(5) Về bồi thường, hỗ trợ, tái định cư, đầu tư hệ thống hạ tầng kỹ thuật, tạo quỹ đất phát triển nhà ở xã hội, Ủy ban nhân dân cấp tỉnh có trách nhiệm sử dụng ngân sách nhà nước từ nguồn vốn đầu tư công, nguồn vốn chi thường xuyên, nguồn vốn hợp pháp khác theo quy định của pháp luật về ngân sách nhà nước, pháp luật về đầu tư công, quy định khác của pháp luật có liên quan để thực hiện bồi thường, hỗ trợ, tái định cư và đầu tư đồng bộ hệ thống hạ tầng kỹ thuật ngoài phạm vi dự án để tạo quỹ đất phát triển nhà ở xã hội.</w:t>
      </w:r>
    </w:p>
    <w:p w:rsidR="000653E5" w:rsidRPr="000653E5" w:rsidRDefault="000653E5" w:rsidP="000653E5">
      <w:pPr>
        <w:ind w:firstLine="630"/>
        <w:jc w:val="both"/>
        <w:rPr>
          <w:lang w:val="vi-VN"/>
        </w:rPr>
      </w:pPr>
      <w:r w:rsidRPr="000653E5">
        <w:rPr>
          <w:lang w:val="vi-VN"/>
        </w:rPr>
        <w:t>Ngoài ra, các quy định về điều khoản chuyển tiếp; tổ chức thực hiện và điều khoản thi hành đều được quy định với tinh thần của các cơ chế đặc thù, thực hiện trong thời hạn 5 năm tính từ ngày 01/6/2025 và được coi là một trong số các động lực tạo đột phá góp phần phát triển kinh tế - xã hội trong giai đoạn hiệ</w:t>
      </w:r>
      <w:r>
        <w:rPr>
          <w:lang w:val="vi-VN"/>
        </w:rPr>
        <w:t>n nay.</w:t>
      </w:r>
    </w:p>
    <w:p w:rsidR="000653E5" w:rsidRPr="000653E5" w:rsidRDefault="000653E5" w:rsidP="000653E5">
      <w:pPr>
        <w:jc w:val="both"/>
        <w:rPr>
          <w:b/>
          <w:bCs/>
        </w:rPr>
      </w:pPr>
      <w:r>
        <w:rPr>
          <w:b/>
          <w:lang w:val="vi-VN"/>
        </w:rPr>
        <w:tab/>
        <w:t xml:space="preserve">2. </w:t>
      </w:r>
      <w:r w:rsidRPr="000653E5">
        <w:rPr>
          <w:b/>
          <w:bCs/>
        </w:rPr>
        <w:t>Một số quy định mới về thời điểm lập hóa đơn</w:t>
      </w:r>
    </w:p>
    <w:p w:rsidR="000653E5" w:rsidRDefault="000653E5" w:rsidP="000653E5">
      <w:pPr>
        <w:ind w:firstLine="630"/>
        <w:jc w:val="both"/>
        <w:rPr>
          <w:lang w:val="vi-VN"/>
        </w:rPr>
      </w:pPr>
      <w:r>
        <w:rPr>
          <w:b/>
          <w:lang w:val="vi-VN"/>
        </w:rPr>
        <w:tab/>
      </w:r>
      <w:r w:rsidRPr="000653E5">
        <w:rPr>
          <w:lang w:val="vi-VN"/>
        </w:rPr>
        <w:t>Ngày 20/3/2025, Chính phủ đã ban hành Nghị định số 70/2025/NĐ-CP sửa đổi, bổ sung một số điều của Nghị định số 123/2020/NĐ-CP ngày 19/10/2020 của Chính phủ quy định về hoá đơn, chứng từ. Nghị định 70/2025/NĐ-CP có hiệu lực kể từ ngày 01/6/2025.</w:t>
      </w:r>
      <w:r>
        <w:rPr>
          <w:lang w:val="vi-VN"/>
        </w:rPr>
        <w:t xml:space="preserve"> </w:t>
      </w:r>
      <w:r w:rsidRPr="000653E5">
        <w:rPr>
          <w:lang w:val="vi-VN"/>
        </w:rPr>
        <w:t>Theo đó, từ ngày 01/6/2025 thời điểm lập hóa đơn trong một số trường hợp sẽ được quy định cụ thể như sau:</w:t>
      </w:r>
    </w:p>
    <w:p w:rsidR="000653E5" w:rsidRDefault="000653E5" w:rsidP="000653E5">
      <w:pPr>
        <w:ind w:firstLine="630"/>
        <w:jc w:val="both"/>
        <w:rPr>
          <w:lang w:val="vi-VN"/>
        </w:rPr>
      </w:pPr>
      <w:r w:rsidRPr="000653E5">
        <w:rPr>
          <w:lang w:val="vi-VN"/>
        </w:rPr>
        <w:t>1. Thời điểm lập hóa đơn khi bán hàng hóa: Thời điểm chuyển giao quyền sở hữu hoặc quyền sử dụng, không phụ thuộc vào việc đã thu tiền hay chưa.</w:t>
      </w:r>
    </w:p>
    <w:p w:rsidR="000653E5" w:rsidRDefault="000653E5" w:rsidP="000653E5">
      <w:pPr>
        <w:ind w:firstLine="630"/>
        <w:jc w:val="both"/>
        <w:rPr>
          <w:lang w:val="vi-VN"/>
        </w:rPr>
      </w:pPr>
      <w:r w:rsidRPr="000653E5">
        <w:rPr>
          <w:lang w:val="vi-VN"/>
        </w:rPr>
        <w:t>2. Thời điểm lập hóa đơn khi xuất khẩu hàng hóa: Do người bán tự xác định nhưng chậm nhất không quá ngày làm việc tiếp theo kể từ ngày thông quan.</w:t>
      </w:r>
    </w:p>
    <w:p w:rsidR="000653E5" w:rsidRDefault="000653E5" w:rsidP="000653E5">
      <w:pPr>
        <w:ind w:firstLine="630"/>
        <w:jc w:val="both"/>
        <w:rPr>
          <w:lang w:val="vi-VN"/>
        </w:rPr>
      </w:pPr>
      <w:r w:rsidRPr="000653E5">
        <w:rPr>
          <w:lang w:val="vi-VN"/>
        </w:rPr>
        <w:t>3. Thời điểm lập hóa đơn khi cung cấp dịch vụ: Thời điểm hoàn thành dịch vụ, không phụ thuộc vào việc đã thu tiền hay chưa. Trường hợp thu tiền trước hoặc trong khi cung cấp dịch vụ (trừ đặt cọc hoặc tạm ứng cho một số dịch vụ cụ thể), thời điểm lập hóa đơn là thời điểm thu tiền.</w:t>
      </w:r>
    </w:p>
    <w:p w:rsidR="000653E5" w:rsidRDefault="000653E5" w:rsidP="000653E5">
      <w:pPr>
        <w:ind w:firstLine="630"/>
        <w:jc w:val="both"/>
        <w:rPr>
          <w:lang w:val="vi-VN"/>
        </w:rPr>
      </w:pPr>
      <w:r w:rsidRPr="000653E5">
        <w:rPr>
          <w:lang w:val="vi-VN"/>
        </w:rPr>
        <w:t>4. Thay đổi thời điểm lập hóa đơn cho một số trường hợp cụ thể:</w:t>
      </w:r>
    </w:p>
    <w:p w:rsidR="000653E5" w:rsidRDefault="000653E5" w:rsidP="000653E5">
      <w:pPr>
        <w:ind w:firstLine="630"/>
        <w:jc w:val="both"/>
        <w:rPr>
          <w:lang w:val="vi-VN"/>
        </w:rPr>
      </w:pPr>
      <w:r w:rsidRPr="000653E5">
        <w:rPr>
          <w:lang w:val="vi-VN"/>
        </w:rPr>
        <w:t>- Dịch vụ số lượng lớn, phát sinh thường xuyên: Chậm nhất không quá ngày 7 của tháng sau tháng phát sinh hoặc không quá 7 ngày kể từ ngày kết thúc kỳ quy ước (ví dụ: điện, nước, viễn thông, logistic, dịch vụ ngân hàng (trừ cho vay).</w:t>
      </w:r>
    </w:p>
    <w:p w:rsidR="000653E5" w:rsidRDefault="000653E5" w:rsidP="000653E5">
      <w:pPr>
        <w:ind w:firstLine="630"/>
        <w:jc w:val="both"/>
        <w:rPr>
          <w:lang w:val="vi-VN"/>
        </w:rPr>
      </w:pPr>
      <w:r w:rsidRPr="000653E5">
        <w:rPr>
          <w:lang w:val="vi-VN"/>
        </w:rPr>
        <w:lastRenderedPageBreak/>
        <w:t>- Tìm kiếm, khai thác, chế biến dầu thô: Thời điểm xác định giá bán chính thức. Đối với khí, thời điểm xác định khối lượng khí giao của tháng, chậm nhất là ngày cuối cùng của thời hạn kê khai nộp thuế.</w:t>
      </w:r>
    </w:p>
    <w:p w:rsidR="000653E5" w:rsidRDefault="000653E5" w:rsidP="000653E5">
      <w:pPr>
        <w:ind w:firstLine="630"/>
        <w:jc w:val="both"/>
        <w:rPr>
          <w:lang w:val="vi-VN"/>
        </w:rPr>
      </w:pPr>
      <w:r w:rsidRPr="000653E5">
        <w:rPr>
          <w:lang w:val="vi-VN"/>
        </w:rPr>
        <w:t>- Cho vay: Theo kỳ hạn thu lãi. Nếu không thu được lãi và theo dõi ngoại bảng, thời điểm lập hóa đơn là khi thu được lãi. Đối với đại lý đổi ngoại tệ, thời điểm hoàn thành dịch vụ.</w:t>
      </w:r>
    </w:p>
    <w:p w:rsidR="000653E5" w:rsidRDefault="000653E5" w:rsidP="000653E5">
      <w:pPr>
        <w:ind w:firstLine="630"/>
        <w:jc w:val="both"/>
        <w:rPr>
          <w:lang w:val="vi-VN"/>
        </w:rPr>
      </w:pPr>
      <w:r w:rsidRPr="000653E5">
        <w:rPr>
          <w:lang w:val="vi-VN"/>
        </w:rPr>
        <w:t>- Taxi dùng phần mềm tính tiền: Kết thúc chuyến đi.</w:t>
      </w:r>
    </w:p>
    <w:p w:rsidR="000653E5" w:rsidRDefault="000653E5" w:rsidP="000653E5">
      <w:pPr>
        <w:ind w:firstLine="630"/>
        <w:jc w:val="both"/>
        <w:rPr>
          <w:lang w:val="vi-VN"/>
        </w:rPr>
      </w:pPr>
      <w:r w:rsidRPr="000653E5">
        <w:rPr>
          <w:lang w:val="vi-VN"/>
        </w:rPr>
        <w:t>- Khám chữa bệnh: Nếu khách hàng không yêu cầu, cuối ngày cơ sở khám chữa bệnh tổng hợp lập hóa đơn. Nếu khách hàng yêu cầu, lập hóa đơn ngay. Đối với bảo hiểm xã hội, thời điểm được thanh toán.</w:t>
      </w:r>
    </w:p>
    <w:p w:rsidR="000653E5" w:rsidRDefault="000653E5" w:rsidP="000653E5">
      <w:pPr>
        <w:ind w:firstLine="630"/>
        <w:jc w:val="both"/>
        <w:rPr>
          <w:lang w:val="vi-VN"/>
        </w:rPr>
      </w:pPr>
      <w:r w:rsidRPr="000653E5">
        <w:rPr>
          <w:lang w:val="vi-VN"/>
        </w:rPr>
        <w:t>5. Bổ sung quy định thời điểm lập hóa đơn cho một số hoạt động:</w:t>
      </w:r>
    </w:p>
    <w:p w:rsidR="000653E5" w:rsidRDefault="000653E5" w:rsidP="000653E5">
      <w:pPr>
        <w:ind w:firstLine="630"/>
        <w:jc w:val="both"/>
        <w:rPr>
          <w:lang w:val="vi-VN"/>
        </w:rPr>
      </w:pPr>
      <w:r w:rsidRPr="000653E5">
        <w:rPr>
          <w:lang w:val="vi-VN"/>
        </w:rPr>
        <w:t>- Kinh doanh bảo hiểm: Thời điểm ghi nhận doanh thu bảo hiểm.</w:t>
      </w:r>
    </w:p>
    <w:p w:rsidR="000653E5" w:rsidRDefault="000653E5" w:rsidP="000653E5">
      <w:pPr>
        <w:ind w:firstLine="630"/>
        <w:jc w:val="both"/>
        <w:rPr>
          <w:lang w:val="vi-VN"/>
        </w:rPr>
      </w:pPr>
      <w:r w:rsidRPr="000653E5">
        <w:rPr>
          <w:lang w:val="vi-VN"/>
        </w:rPr>
        <w:t>- Kinh doanh xổ số: Đối với vé số in sẵn, lập hóa đơn chậm nhất trước khi mở thưởng kỳ tiếp theo.</w:t>
      </w:r>
    </w:p>
    <w:p w:rsidR="000653E5" w:rsidRPr="000653E5" w:rsidRDefault="000653E5" w:rsidP="000653E5">
      <w:pPr>
        <w:ind w:firstLine="630"/>
        <w:jc w:val="both"/>
        <w:rPr>
          <w:lang w:val="vi-VN"/>
        </w:rPr>
      </w:pPr>
      <w:r w:rsidRPr="000653E5">
        <w:rPr>
          <w:lang w:val="vi-VN"/>
        </w:rPr>
        <w:t>- Casino và trò chơi điện tử có thưởng: Chậm nhất 1 ngày kể từ thời điểm kết thúc ngày xác định doanh thu (0h00 - 23h59 cùng ngày).</w:t>
      </w:r>
    </w:p>
    <w:p w:rsidR="000653E5" w:rsidRPr="000653E5" w:rsidRDefault="000653E5" w:rsidP="000653E5">
      <w:pPr>
        <w:ind w:firstLine="630"/>
        <w:jc w:val="both"/>
        <w:rPr>
          <w:b/>
          <w:bCs/>
        </w:rPr>
      </w:pPr>
      <w:r>
        <w:rPr>
          <w:b/>
          <w:bCs/>
          <w:lang w:val="vi-VN"/>
        </w:rPr>
        <w:t xml:space="preserve">3. </w:t>
      </w:r>
      <w:r w:rsidRPr="000653E5">
        <w:rPr>
          <w:b/>
          <w:bCs/>
        </w:rPr>
        <w:t>Sửa đổi, bổ sung quy định về kiểm tra, xử lý kỷ luật trong thi hành pháp luật về xử lý vi phạm hành chính</w:t>
      </w:r>
    </w:p>
    <w:p w:rsidR="000653E5" w:rsidRPr="000653E5" w:rsidRDefault="000653E5" w:rsidP="000653E5">
      <w:pPr>
        <w:ind w:firstLine="630"/>
        <w:jc w:val="both"/>
        <w:rPr>
          <w:b/>
          <w:bCs/>
        </w:rPr>
      </w:pPr>
      <w:r w:rsidRPr="000653E5">
        <w:rPr>
          <w:b/>
          <w:bCs/>
        </w:rPr>
        <w:t>Ngày 26/4/2025 Chính phủ vừa ban hành Nghị định số 93/2025/NĐ-CP sửa đổi, bổ sung một số điều của Nghị định số 19/2020/NĐ-CP ngày 20/02/2020 của Chính phủ về Kiểm tra, xử lý kỷ luật trong thi hành pháp luật về xử lý vi phạm hành chính. Nghị định này có hiệu lực kể từ ngày 15/6/2025.</w:t>
      </w:r>
    </w:p>
    <w:p w:rsidR="000653E5" w:rsidRDefault="000653E5" w:rsidP="000653E5">
      <w:pPr>
        <w:ind w:firstLine="630"/>
        <w:jc w:val="both"/>
        <w:rPr>
          <w:lang w:val="vi-VN"/>
        </w:rPr>
      </w:pPr>
      <w:r w:rsidRPr="000653E5">
        <w:t>Theo đó, Nghị định 93/2025/NĐ-CP đã sửa đổi, bổ sung một số quy định về kiểm tra xử lý kỷ luật trong thi hành pháp luật về xử lý vi phạm hành chính như sau:</w:t>
      </w:r>
    </w:p>
    <w:p w:rsidR="000653E5" w:rsidRDefault="000653E5" w:rsidP="000653E5">
      <w:pPr>
        <w:ind w:firstLine="630"/>
        <w:jc w:val="both"/>
        <w:rPr>
          <w:lang w:val="vi-VN"/>
        </w:rPr>
      </w:pPr>
      <w:r w:rsidRPr="000653E5">
        <w:t>1. Bãi bỏ Điều 19 của Nghị định số 19/2020/NĐ-CP ngày 20/02/2020 của Chính phủ về Kiểm tra, xử lý kỷ luật trong thi hành pháp luật về xử lý vi phạm hành chính quy định về thẩm quyền theo dõi, đôn đốc, kiểm tra việc thực hiện kết luận kiểm tra.</w:t>
      </w:r>
    </w:p>
    <w:p w:rsidR="000653E5" w:rsidRDefault="000653E5" w:rsidP="000653E5">
      <w:pPr>
        <w:ind w:firstLine="630"/>
        <w:jc w:val="both"/>
        <w:rPr>
          <w:lang w:val="vi-VN"/>
        </w:rPr>
      </w:pPr>
      <w:r w:rsidRPr="000653E5">
        <w:lastRenderedPageBreak/>
        <w:t>2. Sửa đổi, bổ sung một số quy định về thẩm quyền kiểm tra công tác thi hành pháp luật về xử lý vi phạm hành chính;</w:t>
      </w:r>
    </w:p>
    <w:p w:rsidR="000653E5" w:rsidRDefault="000653E5" w:rsidP="000653E5">
      <w:pPr>
        <w:ind w:firstLine="630"/>
        <w:jc w:val="both"/>
        <w:rPr>
          <w:lang w:val="vi-VN"/>
        </w:rPr>
      </w:pPr>
      <w:r w:rsidRPr="000653E5">
        <w:t>3. Bổ sung thêm các hành vi, các lỗi có thể bị xem xét kỷ luật đối với người có thẩm quyền trong việc xử lý vi phạm hành chính;</w:t>
      </w:r>
    </w:p>
    <w:p w:rsidR="000653E5" w:rsidRPr="000653E5" w:rsidRDefault="000653E5" w:rsidP="000653E5">
      <w:pPr>
        <w:ind w:firstLine="630"/>
        <w:jc w:val="both"/>
      </w:pPr>
      <w:r w:rsidRPr="000653E5">
        <w:t>4. Sửa đổi, bổ sung quy định về xử lý kỷ luật đối với cán bộ, công chức, viên chức có hành vi vi phạm pháp luật trong thi hành pháp luật về xử lý vi phạm hành chính.</w:t>
      </w:r>
    </w:p>
    <w:p w:rsidR="000653E5" w:rsidRDefault="009B01AE" w:rsidP="000653E5">
      <w:pPr>
        <w:ind w:firstLine="630"/>
        <w:jc w:val="both"/>
        <w:rPr>
          <w:b/>
          <w:bCs/>
          <w:lang w:val="vi-VN"/>
        </w:rPr>
      </w:pPr>
      <w:r>
        <w:rPr>
          <w:b/>
          <w:lang w:val="vi-VN"/>
        </w:rPr>
        <w:t>4</w:t>
      </w:r>
      <w:r w:rsidR="000653E5">
        <w:rPr>
          <w:b/>
          <w:lang w:val="vi-VN"/>
        </w:rPr>
        <w:t>. P</w:t>
      </w:r>
      <w:r w:rsidR="000653E5" w:rsidRPr="000653E5">
        <w:rPr>
          <w:b/>
          <w:bCs/>
        </w:rPr>
        <w:t>hải sử dụng hóa đơn điện tử khởi tạo từ máy tính tiền</w:t>
      </w:r>
      <w:r w:rsidR="000653E5">
        <w:rPr>
          <w:b/>
          <w:bCs/>
          <w:lang w:val="vi-VN"/>
        </w:rPr>
        <w:t xml:space="preserve"> từ 01/6/2025:</w:t>
      </w:r>
    </w:p>
    <w:p w:rsidR="000653E5" w:rsidRDefault="000653E5" w:rsidP="000653E5">
      <w:pPr>
        <w:jc w:val="both"/>
        <w:rPr>
          <w:lang w:val="vi-VN"/>
        </w:rPr>
      </w:pPr>
      <w:r>
        <w:rPr>
          <w:b/>
          <w:bCs/>
          <w:lang w:val="vi-VN"/>
        </w:rPr>
        <w:tab/>
      </w:r>
      <w:r w:rsidRPr="000653E5">
        <w:rPr>
          <w:lang w:val="vi-VN"/>
        </w:rPr>
        <w:t>Thực hiện chủ trương của Bộ trưởng Bộ Tài chính về việc chỉ đạo công tác quản lý thuế đối với hộ, cá nhân; đẩy mạnh triển khai hóa đơn khởi tạo từ máy tính tiền,</w:t>
      </w:r>
      <w:r w:rsidRPr="000653E5">
        <w:t xml:space="preserve"> </w:t>
      </w:r>
      <w:r w:rsidRPr="000653E5">
        <w:rPr>
          <w:lang w:val="vi-VN"/>
        </w:rPr>
        <w:t>thực hiện có hiệu quả Nghị định số 70/2025/NĐ-CP ngày 20/3/2025 của Chính phủ sửa đổi bổ sung Nghị định số 123/2020/NĐ-CP ngày 19/10/2020 của Chính phủ quy định về hóa đơn chứng từ.</w:t>
      </w:r>
    </w:p>
    <w:p w:rsidR="000653E5" w:rsidRPr="000653E5" w:rsidRDefault="000653E5" w:rsidP="000653E5">
      <w:pPr>
        <w:jc w:val="both"/>
        <w:rPr>
          <w:lang w:val="vi-VN"/>
        </w:rPr>
      </w:pPr>
      <w:r>
        <w:rPr>
          <w:lang w:val="vi-VN"/>
        </w:rPr>
        <w:tab/>
        <w:t>T</w:t>
      </w:r>
      <w:r w:rsidRPr="000653E5">
        <w:rPr>
          <w:lang w:val="vi-VN"/>
        </w:rPr>
        <w:t>heo đó để đảm bảo hoàn thành mục tiêu 100% các trường hợp đủ điều kiện phải sử dụng dụng hóa đơn điện tử khởi tạo từ máy tính tiền, đúng thời gian quy định từ ngày 01/6/2025. Các đối tượng phải áp dụng  gồm:</w:t>
      </w:r>
    </w:p>
    <w:p w:rsidR="000653E5" w:rsidRPr="000653E5" w:rsidRDefault="000653E5" w:rsidP="000653E5">
      <w:pPr>
        <w:ind w:firstLine="720"/>
        <w:jc w:val="both"/>
        <w:rPr>
          <w:lang w:val="vi-VN"/>
        </w:rPr>
      </w:pPr>
      <w:r w:rsidRPr="000653E5">
        <w:rPr>
          <w:lang w:val="vi-VN"/>
        </w:rPr>
        <w:t>(1) Hộ kinh doanh, cá nhân kinh doanh (cơ quan thuế xác định số tiền thuế phải nộp theo phương pháp khoán thuế đối với trường hợp hộ kinh doanh, cá nhân kinh doanh không thực hiện hoặc thực hiện không đầy đủ chế độ kế toán, hóa đơn, chứng từ) có mức doanh thu hằng năm từ 01 tỷ đồng trở lên. Trường hợp người bán có sử dụng máy tính tiền, người bán đăng ký sử dụng hóa đơn điện tử được khởi tạo từ máy tính tiền có kết nối chuyển dữ liệu điện tử với cơ quan thuế. Hộ kinh doanh, cá nhân kinh doanh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 và các trường hợp xác định được doanh thu khi bán hàng hóa, dịch vụ sử dụng hóa đơn điện tử có mã của cơ quan thuế khi bán hàng hóa, cung cấp dịch vụ;</w:t>
      </w:r>
    </w:p>
    <w:p w:rsidR="000653E5" w:rsidRDefault="000653E5" w:rsidP="000653E5">
      <w:pPr>
        <w:ind w:firstLine="720"/>
        <w:jc w:val="both"/>
        <w:rPr>
          <w:lang w:val="vi-VN"/>
        </w:rPr>
      </w:pPr>
      <w:r w:rsidRPr="000653E5">
        <w:rPr>
          <w:lang w:val="vi-VN"/>
        </w:rPr>
        <w:t xml:space="preserve">(2)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w:t>
      </w:r>
      <w:r w:rsidRPr="000653E5">
        <w:rPr>
          <w:lang w:val="vi-VN"/>
        </w:rPr>
        <w:lastRenderedPageBreak/>
        <w:t>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sidR="000653E5" w:rsidRPr="000653E5" w:rsidRDefault="009B01AE" w:rsidP="000653E5">
      <w:pPr>
        <w:ind w:firstLine="720"/>
        <w:jc w:val="both"/>
        <w:rPr>
          <w:b/>
          <w:bCs/>
        </w:rPr>
      </w:pPr>
      <w:r>
        <w:rPr>
          <w:b/>
          <w:lang w:val="vi-VN"/>
        </w:rPr>
        <w:t>5</w:t>
      </w:r>
      <w:r w:rsidR="000653E5" w:rsidRPr="000653E5">
        <w:rPr>
          <w:b/>
          <w:lang w:val="vi-VN"/>
        </w:rPr>
        <w:t>.</w:t>
      </w:r>
      <w:r w:rsidR="000653E5">
        <w:rPr>
          <w:lang w:val="vi-VN"/>
        </w:rPr>
        <w:t xml:space="preserve"> </w:t>
      </w:r>
      <w:r w:rsidR="000653E5" w:rsidRPr="000653E5">
        <w:rPr>
          <w:b/>
          <w:bCs/>
        </w:rPr>
        <w:t>Chế độ chính sách đối với cá nhân tham gia phòng cháy chữa cháy tình nguyện từ 01/7/2025</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Theo Nghị định số 105/2025/NĐ-CP, cá nhân gia hoạt động phòng cháy, chữa cháy, cứu nạn, cứu hộ tình nguyện được hưởng bồi dưỡng, hỗ trợ khi tham gia chữa cháy, cứu nạn, cứu hộ bằng mức bồi dưỡng, hỗ trợ đối với người được huy động, người tham gia chữa cháy, cứu nạn, cứu hộ theo quy định, cụ thể:</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Nếu thời gian chữa cháy, cứu nạn, cứu hộ dưới 02 giờ được hưởng tiền bồi dưỡng tối thiểu bằng 0,3 ngày lương tối thiểu vùng;</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Nếu thời gian chữa cháy, cứu nạn, cứu hộ từ 02 giờ đến dưới 04 giờ được hưởng tiền bồi dưỡng tối thiểu bằng 0,45 ngày lương tối thiểu vùng;</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Nếu thời gian chữa cháy, cứu nạn, cứu hộ từ 04 giờ trở lên hoặc chữa cháy, cứu nạn, cứu hộ nhiều ngày thì cứ 04 giờ được hưởng tiền bồi dưỡng tối thiểu bằng 0,6 ngày lương tối thiểu vùng. Nếu tham gia chữa cháy, cứu nạn, cứu hộ vào ban đêm từ 22 giờ đến 6 giờ sáng ngày hôm sau thì được tính gấp hai lần theo cách tính trên.</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Cấp nào có thẩm quyền huy động thì cấp đó trực tiếp chi trả tiền bồi dưỡng cho cá nhân được huy động thuộc phạm vi quản lý. Trường hợp người tham gia chữa cháy, cứu nạn, cứu hộ không thuộc trường hợp huy động thì do Ủy ban nhân dân cấp xã chi trả từ ngân sách nhà nước.</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Cách tính ngày lương tối thiểu vùng được xác định bằng mức lương tối thiểu vùng theo tháng áp dụng đối với người lao động làm việc trên địa bàn do Chính phủ quy định tại thời điểm thực hiện huấn luyện, bồi dưỡng nghiệp vụ phòng cháy, chữa cháy, cứu nạn, cứu hộ chia cho 26 ngày.</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xml:space="preserve">Cũng theo Nghị định số 105/2025/NĐ-CP, khi tham gia phòng cháy, chữa cháy, cứu nạn, cứu hộ mà bị tai nạn, bị thương, bị chết thì được hưởng chế độ như </w:t>
      </w:r>
      <w:r>
        <w:rPr>
          <w:color w:val="333333"/>
          <w:bdr w:val="none" w:sz="0" w:space="0" w:color="auto" w:frame="1"/>
          <w:shd w:val="clear" w:color="auto" w:fill="FFFFFF"/>
        </w:rPr>
        <w:lastRenderedPageBreak/>
        <w:t>chế độ, chính sách đối với người được huy động, người tham gia phòng cháy, chữa cháy, cứu nạn, cứu hộ mà bị tai nạn, bị thương, bị chết theo quy định, cụ thể:</w:t>
      </w:r>
    </w:p>
    <w:p w:rsidR="000653E5"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Chế độ, chính sách đối với người được huy động, người tham gia phòng cháy, chữa cháy, cứu nạn, cứu hộ chưa tham gia bảo hiểm y tế, bảo hiểm xã hội mà bị tai nạn, bị thương:</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Chế độ hỗ trợ chi phí khám bệnh, chữa bệnh: Người được huy động, người tham gia phòng cháy, chữa cháy, cứu nạn, cứu hộ trong thời gian được huy động, tham gia phòng cháy, chữa cháy, cứu nạn, cứu hộ nếu bị tai nạn, bị thương thì được hỗ trợ thanh toán chi phí khám, chữa bệnh và hỗ trợ tiền ăn hằng ngày trong thời gian điều trị nội trú đến khi ổn định sức khỏe ra viện bằng mức hỗ trợ cho tổ viên Tổ bảo vệ an ninh, trật tự đã được Hội đồng nhân dân cấp tỉnh quyết định.</w:t>
      </w:r>
      <w:r>
        <w:rPr>
          <w:rFonts w:ascii="Arial" w:hAnsi="Arial" w:cs="Arial"/>
          <w:color w:val="333333"/>
          <w:sz w:val="21"/>
          <w:szCs w:val="21"/>
        </w:rPr>
        <w:br/>
      </w:r>
      <w:r>
        <w:rPr>
          <w:color w:val="333333"/>
          <w:bdr w:val="none" w:sz="0" w:space="0" w:color="auto" w:frame="1"/>
          <w:shd w:val="clear" w:color="auto" w:fill="FFFFFF"/>
        </w:rPr>
        <w:t>Trợ cấp theo mức suy giảm khả năng lao động: Đối với người được huy động, người tham gia phòng cháy, chữa cháy, cứu nạn, cứu hộ bị tai nạn, bị thương làm suy giảm khả năng lao động thì được chi trả trợ cấp một lần hoặc trợ cấp hằng tháng, trợ cấp phục vụ theo mức suy giảm khả năng lao động theo kết luận của Hội đồng giám định y khoa. Mức trợ cấp bằng mức trợ cấp một lần hoặc trợ cấp hằng tháng, trợ cấp phục vụ đối với người lao động bị suy giảm khả năng lao động tương đương với mức bồi thường cho người lao động bị tai nạn lao động mà không hoàn toàn do lỗi của chính người này gây ra theo quy định của pháp luật về an toàn, vệ sinh lao động.</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Hồ sơ giải quyết chế độ:  Đối với trường hợp đề nghị hỗ trợ chi trả chi phí khám bệnh, chữa bệnh: đơn đề nghị thanh toán chi phí khám bệnh, chữa bệnh của người được hỗ trợ chế độ bị tai nạn, bị thương hoặc người đại diện hợp pháp theo Mẫu quy định; hóa đơn thu tiền; giấy ra viện.</w:t>
      </w:r>
      <w:r>
        <w:rPr>
          <w:rFonts w:ascii="Arial" w:hAnsi="Arial" w:cs="Arial"/>
          <w:color w:val="333333"/>
          <w:sz w:val="21"/>
          <w:szCs w:val="21"/>
        </w:rPr>
        <w:br/>
      </w:r>
      <w:r>
        <w:rPr>
          <w:color w:val="333333"/>
          <w:bdr w:val="none" w:sz="0" w:space="0" w:color="auto" w:frame="1"/>
          <w:shd w:val="clear" w:color="auto" w:fill="FFFFFF"/>
        </w:rPr>
        <w:t>Thông tin về thành phần hồ sơ quy định khi đã được kết nối, chia sẻ, cập nhật trên cơ sở dữ liệu quốc gia hoặc cơ sở dữ liệu chuyên ngành thì cơ quan có thẩm quyền giải quyết phải khai thác trực tuyến để giải quyết mà không được yêu cầu người đề nghị cung cấp hồ sơ giấy;</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xml:space="preserve">Đối với trường hợp đề nghị trợ cấp theo mức suy giảm khả năng lao động: đơn đề nghị trợ cấp tai nạn theo Mẫu quy định; giấy ra viện hoặc trích sao hồ sơ bệnh án sau khi điều trị tai nạn đối với trường hợp điều trị nội trú hoặc giấy chứng nhận thương tích do cơ sở y tế nơi đã cấp cứu, điều trị cấp; biên bản giám định </w:t>
      </w:r>
      <w:r>
        <w:rPr>
          <w:color w:val="333333"/>
          <w:bdr w:val="none" w:sz="0" w:space="0" w:color="auto" w:frame="1"/>
          <w:shd w:val="clear" w:color="auto" w:fill="FFFFFF"/>
        </w:rPr>
        <w:lastRenderedPageBreak/>
        <w:t>mức suy giảm khả năng lao động của Hội đồng giám định y khoa cấp tỉnh và tương đương trở lên.</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Trình tự giải quyết: Người đề nghị được hưởng chế độ hoặc người đại diện hợp pháp chuẩn bị 01 bộ hồ sơ theo quy định và nộp Ủy ban nhân dân cấp xã theo một trong các hình thức sau: trực tiếp; thông qua dịch vụ bưu chính; trực tuyến qua cổng dịch vụ công. Ủy ban nhân dân cấp xã có trách nhiệm tiếp nhận, kiểm tra hồ sơ; trường hợp hồ sơ chưa hợp lệ có trách nhiệm hướng dẫn ngay để hoàn thiện. Trong thời hạn 05 ngày làm việc, kể từ ngày nhận đủ hồ sơ hợp lệ, Ủy ban nhân dân cấp xã có trách nhiệm chỉ đạo tổ chức thẩm định và ra quyết định chi trả kinh phí hỗ trợ khám bệnh, chữa bệnh, trợ cấp cho người bị tai nạn, bị thương. Trường hợp hồ sơ không đủ điều kiện giải quyết, Ủy ban nhân dân cấp xã phải có văn bản trả lời, nêu rõ lý do.</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 Chế độ, chính sách đối với người được huy động, người tham gia phòng cháy, chữa cháy, cứu nạn, cứu hộ chưa tham gia bảo hiểm xã hội bị chết:</w:t>
      </w:r>
      <w:r>
        <w:rPr>
          <w:rFonts w:ascii="Arial" w:hAnsi="Arial" w:cs="Arial"/>
          <w:color w:val="333333"/>
          <w:sz w:val="21"/>
          <w:szCs w:val="21"/>
        </w:rPr>
        <w:br/>
      </w:r>
      <w:r>
        <w:rPr>
          <w:color w:val="333333"/>
          <w:bdr w:val="none" w:sz="0" w:space="0" w:color="auto" w:frame="1"/>
          <w:shd w:val="clear" w:color="auto" w:fill="FFFFFF"/>
        </w:rPr>
        <w:t>Người chưa tham gia bảo hiểm xã hội hoặc người đã hưởng bảo hiểm xã hội một lần bị chết do tham gia phòng cháy, chữa cháy, cứu nạn, cứu hộ hoặc bị chết trong thời gian điều trị lần đầu do tai nạn khi tham gia phòng cháy, chữa cháy, cứu nạn, cứu hộ thì thân nhân tổ chức mai táng được hỗ trợ chi trả chi phí khám bệnh, chữa bệnh, chi trả tiền tuất, tiền mai táng phí như sau:</w:t>
      </w:r>
      <w:r>
        <w:rPr>
          <w:rFonts w:ascii="Arial" w:hAnsi="Arial" w:cs="Arial"/>
          <w:color w:val="333333"/>
          <w:sz w:val="21"/>
          <w:szCs w:val="21"/>
        </w:rPr>
        <w:br/>
      </w:r>
      <w:r>
        <w:rPr>
          <w:color w:val="333333"/>
          <w:bdr w:val="none" w:sz="0" w:space="0" w:color="auto" w:frame="1"/>
          <w:shd w:val="clear" w:color="auto" w:fill="FFFFFF"/>
        </w:rPr>
        <w:t>Thân nhân được trợ cấp tiền tuất một lần bằng mức trợ cấp một lần khi chết do tai nạn lao động theo quy định của pháp luật về an toàn, vệ sinh lao động hoặc trợ cấp tiền tuất hằng tháng bằng mức trợ cấp tiền tuất hằng tháng đối với người đang tham gia bảo hiểm xã hội theo quy định của pháp luật về bảo hiểm xã hội. Điều kiện hưởng trợ cấp tiền tuất một lần hoặc trợ cấp tiền tuất hằng tháng phải đảm bảo điều kiện về thân nhân như quy định của pháp luật về bảo hiểm xã hội đối với người đang tham gia bảo hiểm xã hội;</w:t>
      </w:r>
    </w:p>
    <w:p w:rsidR="00085238" w:rsidRDefault="000653E5" w:rsidP="000653E5">
      <w:pPr>
        <w:ind w:firstLine="720"/>
        <w:jc w:val="both"/>
        <w:rPr>
          <w:color w:val="333333"/>
          <w:bdr w:val="none" w:sz="0" w:space="0" w:color="auto" w:frame="1"/>
          <w:shd w:val="clear" w:color="auto" w:fill="FFFFFF"/>
          <w:lang w:val="vi-VN"/>
        </w:rPr>
      </w:pPr>
      <w:r>
        <w:rPr>
          <w:color w:val="333333"/>
          <w:bdr w:val="none" w:sz="0" w:space="0" w:color="auto" w:frame="1"/>
          <w:shd w:val="clear" w:color="auto" w:fill="FFFFFF"/>
        </w:rPr>
        <w:t>Thân nhân tổ chức mai táng được chi trả tiền mai táng phí. Mức tiền chi trả bằng mức trợ cấp mai táng đối với người đang tham gia bảo hiểm xã hội theo quy định của pháp luật về bảo hiểm xã hội;</w:t>
      </w:r>
      <w:r>
        <w:rPr>
          <w:rFonts w:ascii="Arial" w:hAnsi="Arial" w:cs="Arial"/>
          <w:color w:val="333333"/>
          <w:sz w:val="21"/>
          <w:szCs w:val="21"/>
        </w:rPr>
        <w:br/>
      </w:r>
      <w:r>
        <w:rPr>
          <w:color w:val="333333"/>
          <w:bdr w:val="none" w:sz="0" w:space="0" w:color="auto" w:frame="1"/>
          <w:shd w:val="clear" w:color="auto" w:fill="FFFFFF"/>
        </w:rPr>
        <w:t>Trường hợp bị chết trong thời gian điều trị lần đầu do tai nạn khi tham gia phòng cháy, chữa cháy, cứu nạn, cứu hộ, thân nhân được hỗ trợ chi trả chi phí khám bệnh, chữa bệnh theo quy định.</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lastRenderedPageBreak/>
        <w:t>Hồ sơ giải quyết chế độ trợ cấp tiền tuất, tiền mai táng phí: đơn đề nghị trợ cấp tiền tuất, tiền mai táng phí theo Mẫu quy định; giấy chứng tử hoặc trích lục khai tử.</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Thông tin về thành phần hồ sơ quy định tại điểm này khi đã được kết nối, chia sẻ, cập nhật trên cơ sở dữ liệu quốc gia hoặc cơ sở dữ liệu chuyên ngành thì cơ quan có thẩm quyền giải quyết phải khai thác trực tuyến để giải quyết mà không được yêu cầu người đề nghị cung cấp hồ sơ giấy.</w:t>
      </w:r>
    </w:p>
    <w:p w:rsidR="00085238" w:rsidRDefault="000653E5" w:rsidP="000653E5">
      <w:pPr>
        <w:ind w:firstLine="720"/>
        <w:jc w:val="both"/>
        <w:rPr>
          <w:rFonts w:ascii="Arial" w:hAnsi="Arial" w:cs="Arial"/>
          <w:color w:val="333333"/>
          <w:sz w:val="21"/>
          <w:szCs w:val="21"/>
          <w:lang w:val="vi-VN"/>
        </w:rPr>
      </w:pPr>
      <w:r>
        <w:rPr>
          <w:color w:val="333333"/>
          <w:bdr w:val="none" w:sz="0" w:space="0" w:color="auto" w:frame="1"/>
          <w:shd w:val="clear" w:color="auto" w:fill="FFFFFF"/>
        </w:rPr>
        <w:t>Trình tự giải quyết: Thân nhân người đã chết đề nghị được hưởng chế độ hoặc người đại diện hợp pháp chuẩn bị 01 bộ hồ sơ theo quy định và nộp Ủy ban nhân dân cấp xã theo một trong các hình thức sau: trực tiếp; thông qua dịch vụ bưu chính; trực tuyến qua cổng dịch vụ công. Ủy ban nhân dân cấp xã có trách nhiệm tiếp nhận, kiểm tra hồ sơ; trường hợp hồ sơ chưa hợp lệ có trách nhiệm hướng dẫn ngay để hoàn thiện; Trong thời hạn 05 ngày làm việc, kể từ ngày nhận đủ hồ sơ hợp lệ, Ủy ban nhân dân cấp xã có trách nhiệm chỉ đạo tổ chức thẩm định và ra quyết định chi trả chế độ, chính sách.Trường hợp hồ sơ không đủ điều kiện giải quyết, Ủy ban nhân dân cấp xã phải có văn bản trả lời, nêu rõ lý do.</w:t>
      </w:r>
      <w:r>
        <w:rPr>
          <w:rFonts w:ascii="Arial" w:hAnsi="Arial" w:cs="Arial"/>
          <w:color w:val="333333"/>
          <w:sz w:val="21"/>
          <w:szCs w:val="21"/>
        </w:rPr>
        <w:br/>
      </w:r>
      <w:r>
        <w:rPr>
          <w:color w:val="333333"/>
          <w:bdr w:val="none" w:sz="0" w:space="0" w:color="auto" w:frame="1"/>
          <w:shd w:val="clear" w:color="auto" w:fill="FFFFFF"/>
        </w:rPr>
        <w:t>Nghị định số 105/2025/NĐ-CP cũng quy định rõ: Cá nhân đã đăng ký tình nguyện tham gia hoạt động phòng cháy, chữa cháy, cứu nạn, cứu hộ được huy động tham gia các hoạt động phòng cháy, chữa cháy, cứu nạn, cứu hộ phù hợp với nội dung đăng ký.</w:t>
      </w:r>
    </w:p>
    <w:p w:rsidR="000653E5" w:rsidRPr="000653E5" w:rsidRDefault="000653E5" w:rsidP="000653E5">
      <w:pPr>
        <w:ind w:firstLine="720"/>
        <w:jc w:val="both"/>
        <w:rPr>
          <w:lang w:val="vi-VN"/>
        </w:rPr>
      </w:pPr>
      <w:r>
        <w:rPr>
          <w:color w:val="333333"/>
          <w:bdr w:val="none" w:sz="0" w:space="0" w:color="auto" w:frame="1"/>
          <w:shd w:val="clear" w:color="auto" w:fill="FFFFFF"/>
        </w:rPr>
        <w:t>Khi chấm dứt tham gia hoạt động phòng cháy, chữa cháy, cứu nạn, cứu hộ tình nguyện, cá nhân phải thông báo cho Công an cấp xã nơi đã đăng ký trước đó.</w:t>
      </w:r>
      <w:r>
        <w:rPr>
          <w:rFonts w:ascii="Arial" w:hAnsi="Arial" w:cs="Arial"/>
          <w:color w:val="333333"/>
          <w:sz w:val="21"/>
          <w:szCs w:val="21"/>
        </w:rPr>
        <w:br/>
      </w:r>
      <w:r>
        <w:rPr>
          <w:color w:val="333333"/>
          <w:bdr w:val="none" w:sz="0" w:space="0" w:color="auto" w:frame="1"/>
          <w:shd w:val="clear" w:color="auto" w:fill="FFFFFF"/>
        </w:rPr>
        <w:t>Ngoài ra, Nghị định cũng quy định thẩm định thiết kế, nghiệm thu về phòng cháy và chữa cháy của người quyết định đầu tư, chủ đầu tư, chủ sở hữu công trình, chủ phương tiện giao thông, thẩm định thiết kế về phòng cháy và chữa cháy của cơ quan Công an...</w:t>
      </w:r>
      <w:r w:rsidRPr="000653E5">
        <w:rPr>
          <w:b/>
          <w:color w:val="333333"/>
          <w:bdr w:val="none" w:sz="0" w:space="0" w:color="auto" w:frame="1"/>
          <w:shd w:val="clear" w:color="auto" w:fill="FFFFFF"/>
        </w:rPr>
        <w:t>Nghị định 105/2025/NĐ-CP có hiệu lực từ ngày 01/7/2025.</w:t>
      </w:r>
    </w:p>
    <w:p w:rsidR="00085238" w:rsidRPr="00085238" w:rsidRDefault="00085238" w:rsidP="00085238">
      <w:pPr>
        <w:jc w:val="both"/>
        <w:rPr>
          <w:b/>
          <w:bCs/>
        </w:rPr>
      </w:pPr>
      <w:r>
        <w:rPr>
          <w:b/>
          <w:lang w:val="vi-VN"/>
        </w:rPr>
        <w:tab/>
      </w:r>
      <w:r w:rsidR="009B01AE">
        <w:rPr>
          <w:b/>
          <w:lang w:val="vi-VN"/>
        </w:rPr>
        <w:t>6</w:t>
      </w:r>
      <w:r>
        <w:rPr>
          <w:b/>
          <w:lang w:val="vi-VN"/>
        </w:rPr>
        <w:t xml:space="preserve">. </w:t>
      </w:r>
      <w:r w:rsidRPr="00085238">
        <w:rPr>
          <w:b/>
          <w:bCs/>
        </w:rPr>
        <w:t>Nhiều hành vi vi phạm quy định về phòng cháy chữa cháy và cứu nạn cứu hộ bị xử phạt vi phạm hành chính từ 01/7/2025</w:t>
      </w:r>
    </w:p>
    <w:p w:rsidR="000653E5" w:rsidRDefault="00085238" w:rsidP="000653E5">
      <w:pPr>
        <w:jc w:val="both"/>
        <w:rPr>
          <w:bCs/>
          <w:lang w:val="vi-VN"/>
        </w:rPr>
      </w:pPr>
      <w:r>
        <w:rPr>
          <w:b/>
          <w:lang w:val="vi-VN"/>
        </w:rPr>
        <w:tab/>
      </w:r>
      <w:r w:rsidRPr="00085238">
        <w:rPr>
          <w:lang w:val="vi-VN"/>
        </w:rPr>
        <w:t xml:space="preserve">Theo </w:t>
      </w:r>
      <w:r w:rsidRPr="00085238">
        <w:rPr>
          <w:bCs/>
        </w:rPr>
        <w:t xml:space="preserve">Nghị định số 106/2025/NĐ-CP quy định xử phạt vi phạm hành chính trong lĩnh vực phòng cháy, chữa cháy và cứu nạn, cứu hộ được Chính phủ ban hành ngày 15/5/2025, có hiệu lực từ 01/7/2025; thay thế cho các quy định về hành vi quy định tại mục 3, Chương II Nghị định số 144/2021/NĐ-CP ngày 31/12/2021 </w:t>
      </w:r>
      <w:r w:rsidRPr="00085238">
        <w:rPr>
          <w:bCs/>
        </w:rPr>
        <w:lastRenderedPageBreak/>
        <w:t>của Chính phủ quy định xử phạt vi phạm hành chính trong lĩnh vực an ninh, trật tự, an toàn xã hội; phòng, chống tệ nạn xã hội; phòng cháy và chữa cháy; cứu nạn, cứu hộ; phòng, chống bạo lực gia đình.</w:t>
      </w:r>
    </w:p>
    <w:p w:rsidR="00085238" w:rsidRPr="00085238" w:rsidRDefault="00085238" w:rsidP="00085238">
      <w:pPr>
        <w:jc w:val="both"/>
        <w:rPr>
          <w:bCs/>
          <w:lang w:val="vi-VN"/>
        </w:rPr>
      </w:pPr>
      <w:r>
        <w:rPr>
          <w:bCs/>
          <w:lang w:val="vi-VN"/>
        </w:rPr>
        <w:tab/>
      </w:r>
      <w:r w:rsidRPr="00085238">
        <w:rPr>
          <w:bCs/>
          <w:lang w:val="vi-VN"/>
        </w:rPr>
        <w:t>Nghị định quy định cụ thể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phòng cháy, chữa cháy và cứu nạn, cứu hộ. Đối với các hành vi vi phạm hành chính trong lĩnh vực quản lý nhà nước khác liên quan đến lĩnh vực phòng cháy, chữa cháy và cứu nạn, cứu hộ mà không quy định tại Nghị định này thì áp dụng quy định tại các Nghị định quy định về xử phạt vi phạm hành chính trong các lĩnh vực đó để xử phạt. Đối với các hành vi vi phạm về phòng cháy, chữa cháy rừng thực hiện theo quy định tại Nghị định quy định xử phạt vi phạm hành chính trong lĩnh vực lâm nghiệp; trường hợp các hành vi vi phạm hành chính về phòng cháy, chữa cháy rừng không được quy định tại Nghị định quy định xử phạt vi phạm hành chính trong lĩnh vực lâm nghiệp thì thực hiện xử phạt theo quy định tại Nghị định này.</w:t>
      </w:r>
    </w:p>
    <w:p w:rsidR="00085238" w:rsidRPr="00085238" w:rsidRDefault="00085238" w:rsidP="00085238">
      <w:pPr>
        <w:ind w:firstLine="720"/>
        <w:jc w:val="both"/>
        <w:rPr>
          <w:bCs/>
          <w:lang w:val="vi-VN"/>
        </w:rPr>
      </w:pPr>
      <w:r w:rsidRPr="00085238">
        <w:rPr>
          <w:bCs/>
          <w:lang w:val="vi-VN"/>
        </w:rPr>
        <w:t>Theo đó, các hành vi cụ thể được quy định làm căn cứ xử lý vi phạm hành chính bao gồm:</w:t>
      </w:r>
    </w:p>
    <w:p w:rsidR="00085238" w:rsidRPr="00085238" w:rsidRDefault="00085238" w:rsidP="00085238">
      <w:pPr>
        <w:ind w:firstLine="720"/>
        <w:jc w:val="both"/>
        <w:rPr>
          <w:bCs/>
          <w:lang w:val="vi-VN"/>
        </w:rPr>
      </w:pPr>
      <w:r w:rsidRPr="00085238">
        <w:rPr>
          <w:bCs/>
          <w:lang w:val="vi-VN"/>
        </w:rPr>
        <w:t>(1) Vi phạm quy định về tuyên truyền, phổ biến kiến thức, pháp luật, huấn luyện, bồi dưỡng nghiệp vụ phòng cháy, chữa cháy, cứu nạn, cứu hộ;</w:t>
      </w:r>
    </w:p>
    <w:p w:rsidR="00085238" w:rsidRPr="00085238" w:rsidRDefault="00085238" w:rsidP="00085238">
      <w:pPr>
        <w:ind w:firstLine="720"/>
        <w:jc w:val="both"/>
        <w:rPr>
          <w:bCs/>
          <w:lang w:val="vi-VN"/>
        </w:rPr>
      </w:pPr>
      <w:r w:rsidRPr="00085238">
        <w:rPr>
          <w:bCs/>
          <w:lang w:val="vi-VN"/>
        </w:rPr>
        <w:t>(2) Vi phạm quy định về ban hành, niêm yết nội quy, biển cấm, biển báo, biển chỉ dẫn về phòng cháy, chữa cháy, cứu nạn, cứu hộ;</w:t>
      </w:r>
    </w:p>
    <w:p w:rsidR="00085238" w:rsidRPr="00085238" w:rsidRDefault="00085238" w:rsidP="00085238">
      <w:pPr>
        <w:ind w:firstLine="720"/>
        <w:jc w:val="both"/>
        <w:rPr>
          <w:bCs/>
          <w:lang w:val="vi-VN"/>
        </w:rPr>
      </w:pPr>
      <w:r w:rsidRPr="00085238">
        <w:rPr>
          <w:bCs/>
          <w:lang w:val="vi-VN"/>
        </w:rPr>
        <w:t>(3) Vi phạm quy định về thành lập quản lý Đội phòng cháy, chữa cháy và cứu nạn, cứu hộ cơ sở, Đội phòng cháy, chữa cháy và cứu nạn, cứu hộ chuyên ngành; phân công người thực hiện nhiệm vụ phòng cháy, chữa cháy, cứu nạn, cứu hộ;</w:t>
      </w:r>
    </w:p>
    <w:p w:rsidR="00085238" w:rsidRPr="00085238" w:rsidRDefault="00085238" w:rsidP="00085238">
      <w:pPr>
        <w:ind w:firstLine="720"/>
        <w:jc w:val="both"/>
        <w:rPr>
          <w:bCs/>
          <w:lang w:val="vi-VN"/>
        </w:rPr>
      </w:pPr>
      <w:r w:rsidRPr="00085238">
        <w:rPr>
          <w:bCs/>
          <w:lang w:val="vi-VN"/>
        </w:rPr>
        <w:t>(4) Vi phạm quy định hồ sơ về phòng cháy, chữa cháy, cứu nạn, cứu hộ;</w:t>
      </w:r>
    </w:p>
    <w:p w:rsidR="00085238" w:rsidRPr="00085238" w:rsidRDefault="00085238" w:rsidP="00085238">
      <w:pPr>
        <w:ind w:firstLine="720"/>
        <w:jc w:val="both"/>
        <w:rPr>
          <w:bCs/>
          <w:lang w:val="vi-VN"/>
        </w:rPr>
      </w:pPr>
      <w:r w:rsidRPr="00085238">
        <w:rPr>
          <w:bCs/>
          <w:lang w:val="vi-VN"/>
        </w:rPr>
        <w:t>(5)  Vi phạm quy định kiểm tra về phòng cháy, chữa cháy;</w:t>
      </w:r>
    </w:p>
    <w:p w:rsidR="00085238" w:rsidRPr="00085238" w:rsidRDefault="00085238" w:rsidP="00085238">
      <w:pPr>
        <w:ind w:firstLine="720"/>
        <w:jc w:val="both"/>
        <w:rPr>
          <w:bCs/>
          <w:lang w:val="vi-VN"/>
        </w:rPr>
      </w:pPr>
      <w:r w:rsidRPr="00085238">
        <w:rPr>
          <w:bCs/>
          <w:lang w:val="vi-VN"/>
        </w:rPr>
        <w:t>(6) Vi phạm quy định về phòng cháy, chữa cháy trong sử dụng nguồn lửa, nguồn nhiệt, thiết bị, dụng cụ sinh lửa, sinh nhiệt;</w:t>
      </w:r>
    </w:p>
    <w:p w:rsidR="00085238" w:rsidRPr="00085238" w:rsidRDefault="00085238" w:rsidP="00085238">
      <w:pPr>
        <w:ind w:firstLine="720"/>
        <w:jc w:val="both"/>
        <w:rPr>
          <w:bCs/>
          <w:lang w:val="vi-VN"/>
        </w:rPr>
      </w:pPr>
      <w:r w:rsidRPr="00085238">
        <w:rPr>
          <w:bCs/>
          <w:lang w:val="vi-VN"/>
        </w:rPr>
        <w:lastRenderedPageBreak/>
        <w:t>(7) Vi phạm quy định về phòng cháy, chữa cháy trong lắp đặt, sử dụng điện;</w:t>
      </w:r>
    </w:p>
    <w:p w:rsidR="00085238" w:rsidRPr="00085238" w:rsidRDefault="00085238" w:rsidP="00085238">
      <w:pPr>
        <w:ind w:firstLine="720"/>
        <w:jc w:val="both"/>
        <w:rPr>
          <w:bCs/>
          <w:lang w:val="vi-VN"/>
        </w:rPr>
      </w:pPr>
      <w:r w:rsidRPr="00085238">
        <w:rPr>
          <w:bCs/>
          <w:lang w:val="vi-VN"/>
        </w:rPr>
        <w:t>(8) Vi phạm quy định về an toàn phòng cháy và chữa cháy trong lắp đặt, kiểm tra, bảo trì hệ thống tiếp địa, chống sét;</w:t>
      </w:r>
    </w:p>
    <w:p w:rsidR="00085238" w:rsidRPr="00085238" w:rsidRDefault="00085238" w:rsidP="00085238">
      <w:pPr>
        <w:ind w:firstLine="720"/>
        <w:jc w:val="both"/>
        <w:rPr>
          <w:bCs/>
          <w:lang w:val="vi-VN"/>
        </w:rPr>
      </w:pPr>
      <w:r w:rsidRPr="00085238">
        <w:rPr>
          <w:bCs/>
          <w:lang w:val="vi-VN"/>
        </w:rPr>
        <w:t>(9) Vi phạm quy định về phòng cháy, chữa cháy trong quản lý, bảo quản, sử dụng chất, hàng hóa nguy hiểm về cháy, nổ;</w:t>
      </w:r>
    </w:p>
    <w:p w:rsidR="00085238" w:rsidRPr="00085238" w:rsidRDefault="00085238" w:rsidP="00085238">
      <w:pPr>
        <w:ind w:firstLine="720"/>
        <w:jc w:val="both"/>
        <w:rPr>
          <w:bCs/>
          <w:lang w:val="vi-VN"/>
        </w:rPr>
      </w:pPr>
      <w:r w:rsidRPr="00085238">
        <w:rPr>
          <w:bCs/>
          <w:lang w:val="vi-VN"/>
        </w:rPr>
        <w:t>(10) Vi phạm quy định về phòng cháy, chữa cháy trong sản xuất, kinh doanh chất, hàng hóa nguy hiểm về cháy, nổ;</w:t>
      </w:r>
    </w:p>
    <w:p w:rsidR="00085238" w:rsidRPr="00085238" w:rsidRDefault="00085238" w:rsidP="00085238">
      <w:pPr>
        <w:ind w:firstLine="720"/>
        <w:jc w:val="both"/>
        <w:rPr>
          <w:bCs/>
          <w:lang w:val="vi-VN"/>
        </w:rPr>
      </w:pPr>
      <w:r w:rsidRPr="00085238">
        <w:rPr>
          <w:bCs/>
          <w:lang w:val="vi-VN"/>
        </w:rPr>
        <w:t>(11) Vi phạm quy định trong vận chuyển chất, hàng hóa nguy hiểm về cháy, nổ;</w:t>
      </w:r>
    </w:p>
    <w:p w:rsidR="00085238" w:rsidRPr="00085238" w:rsidRDefault="00085238" w:rsidP="00085238">
      <w:pPr>
        <w:ind w:firstLine="720"/>
        <w:jc w:val="both"/>
        <w:rPr>
          <w:bCs/>
          <w:lang w:val="vi-VN"/>
        </w:rPr>
      </w:pPr>
      <w:r w:rsidRPr="00085238">
        <w:rPr>
          <w:bCs/>
          <w:lang w:val="vi-VN"/>
        </w:rPr>
        <w:t>(12) Vi phạm quy định về bảo hiểm cháy, nổ bắt buộc;</w:t>
      </w:r>
    </w:p>
    <w:p w:rsidR="00085238" w:rsidRPr="00085238" w:rsidRDefault="00085238" w:rsidP="00085238">
      <w:pPr>
        <w:ind w:firstLine="720"/>
        <w:jc w:val="both"/>
        <w:rPr>
          <w:bCs/>
          <w:lang w:val="vi-VN"/>
        </w:rPr>
      </w:pPr>
      <w:r w:rsidRPr="00085238">
        <w:rPr>
          <w:bCs/>
          <w:lang w:val="vi-VN"/>
        </w:rPr>
        <w:t>(13) Vi phạm quy định về thẩm định thiết kế, nghiệm thu về phòng cháy và chữa cháy;</w:t>
      </w:r>
    </w:p>
    <w:p w:rsidR="00085238" w:rsidRPr="00085238" w:rsidRDefault="00085238" w:rsidP="00085238">
      <w:pPr>
        <w:ind w:firstLine="720"/>
        <w:jc w:val="both"/>
        <w:rPr>
          <w:bCs/>
          <w:lang w:val="vi-VN"/>
        </w:rPr>
      </w:pPr>
      <w:r w:rsidRPr="00085238">
        <w:rPr>
          <w:bCs/>
          <w:lang w:val="vi-VN"/>
        </w:rPr>
        <w:t>(14) Hành vi vi phạm về lưu thông phương tiện phòng cháy, chữa cháy, cứu nạn, cứu hộ và vật liệu, cấu kiện ngăn cháy, chống cháy;</w:t>
      </w:r>
    </w:p>
    <w:p w:rsidR="00085238" w:rsidRPr="00085238" w:rsidRDefault="00085238" w:rsidP="00085238">
      <w:pPr>
        <w:ind w:firstLine="720"/>
        <w:jc w:val="both"/>
        <w:rPr>
          <w:bCs/>
          <w:lang w:val="vi-VN"/>
        </w:rPr>
      </w:pPr>
      <w:r w:rsidRPr="00085238">
        <w:rPr>
          <w:bCs/>
          <w:lang w:val="vi-VN"/>
        </w:rPr>
        <w:t>(15) Vi phạm quy định về trang bị, lắp đặt phương tiện phòng cháy, chữa cháy, cứu nạn, cứu hộ;</w:t>
      </w:r>
    </w:p>
    <w:p w:rsidR="00085238" w:rsidRPr="00085238" w:rsidRDefault="00085238" w:rsidP="00085238">
      <w:pPr>
        <w:ind w:firstLine="720"/>
        <w:jc w:val="both"/>
        <w:rPr>
          <w:bCs/>
          <w:lang w:val="vi-VN"/>
        </w:rPr>
      </w:pPr>
      <w:r w:rsidRPr="00085238">
        <w:rPr>
          <w:bCs/>
          <w:lang w:val="vi-VN"/>
        </w:rPr>
        <w:t>(16) Vi phạm quy định về sử dụng phương tiện phòng cháy, chữa cháy, cứu nạn, cứu hộ;</w:t>
      </w:r>
    </w:p>
    <w:p w:rsidR="00085238" w:rsidRPr="00085238" w:rsidRDefault="00085238" w:rsidP="00085238">
      <w:pPr>
        <w:ind w:firstLine="720"/>
        <w:jc w:val="both"/>
        <w:rPr>
          <w:bCs/>
          <w:lang w:val="vi-VN"/>
        </w:rPr>
      </w:pPr>
      <w:r w:rsidRPr="00085238">
        <w:rPr>
          <w:bCs/>
          <w:lang w:val="vi-VN"/>
        </w:rPr>
        <w:t>(17) Vi phạm quy định về bảo quản, bảo dưỡng phương tiện phòng cháy, chữa cháy, cứu nạn, cứu hộ;</w:t>
      </w:r>
    </w:p>
    <w:p w:rsidR="00085238" w:rsidRPr="00085238" w:rsidRDefault="00085238" w:rsidP="00085238">
      <w:pPr>
        <w:ind w:firstLine="720"/>
        <w:jc w:val="both"/>
        <w:rPr>
          <w:bCs/>
          <w:lang w:val="vi-VN"/>
        </w:rPr>
      </w:pPr>
      <w:r w:rsidRPr="00085238">
        <w:rPr>
          <w:bCs/>
          <w:lang w:val="vi-VN"/>
        </w:rPr>
        <w:t>(18) Vi phạm quy định về thông gió, chống khói;</w:t>
      </w:r>
    </w:p>
    <w:p w:rsidR="00085238" w:rsidRPr="00085238" w:rsidRDefault="00085238" w:rsidP="00085238">
      <w:pPr>
        <w:ind w:firstLine="720"/>
        <w:jc w:val="both"/>
        <w:rPr>
          <w:bCs/>
          <w:lang w:val="vi-VN"/>
        </w:rPr>
      </w:pPr>
      <w:r w:rsidRPr="00085238">
        <w:rPr>
          <w:bCs/>
          <w:lang w:val="vi-VN"/>
        </w:rPr>
        <w:t>(19) Vi phạm quy định về thoát nạn trong phòng cháy và chữa cháy;</w:t>
      </w:r>
    </w:p>
    <w:p w:rsidR="00085238" w:rsidRPr="00085238" w:rsidRDefault="00085238" w:rsidP="00085238">
      <w:pPr>
        <w:ind w:firstLine="720"/>
        <w:jc w:val="both"/>
        <w:rPr>
          <w:bCs/>
          <w:lang w:val="vi-VN"/>
        </w:rPr>
      </w:pPr>
      <w:r w:rsidRPr="00085238">
        <w:rPr>
          <w:bCs/>
          <w:lang w:val="vi-VN"/>
        </w:rPr>
        <w:t>(20) Vi phạm quy định về ngăn cháy;</w:t>
      </w:r>
    </w:p>
    <w:p w:rsidR="00085238" w:rsidRPr="00085238" w:rsidRDefault="00085238" w:rsidP="00085238">
      <w:pPr>
        <w:ind w:firstLine="720"/>
        <w:jc w:val="both"/>
        <w:rPr>
          <w:bCs/>
          <w:lang w:val="vi-VN"/>
        </w:rPr>
      </w:pPr>
      <w:r w:rsidRPr="00085238">
        <w:rPr>
          <w:bCs/>
          <w:lang w:val="vi-VN"/>
        </w:rPr>
        <w:t>(21) Vi phạm quy định về xây dựng, phê duyệt và thực tập phương án chữa cháy, cứu nạn, cứu hộ;</w:t>
      </w:r>
    </w:p>
    <w:p w:rsidR="00085238" w:rsidRPr="00085238" w:rsidRDefault="00085238" w:rsidP="00085238">
      <w:pPr>
        <w:ind w:firstLine="720"/>
        <w:jc w:val="both"/>
        <w:rPr>
          <w:bCs/>
          <w:lang w:val="vi-VN"/>
        </w:rPr>
      </w:pPr>
      <w:r w:rsidRPr="00085238">
        <w:rPr>
          <w:bCs/>
          <w:lang w:val="vi-VN"/>
        </w:rPr>
        <w:t>(22) Vi phạm quy định về chữa cháy, cứu nạn, cứu hộ;</w:t>
      </w:r>
    </w:p>
    <w:p w:rsidR="00085238" w:rsidRPr="00085238" w:rsidRDefault="00085238" w:rsidP="00085238">
      <w:pPr>
        <w:ind w:firstLine="720"/>
        <w:jc w:val="both"/>
        <w:rPr>
          <w:bCs/>
          <w:lang w:val="vi-VN"/>
        </w:rPr>
      </w:pPr>
      <w:r w:rsidRPr="00085238">
        <w:rPr>
          <w:bCs/>
          <w:lang w:val="vi-VN"/>
        </w:rPr>
        <w:lastRenderedPageBreak/>
        <w:t>(23) Vi phạm quy định về hệ thống Cơ sở dữ liệu về phòng cháy, chữa cháy, cứu nạn, cứu hộ và truyền tin báo cháy;</w:t>
      </w:r>
    </w:p>
    <w:p w:rsidR="00085238" w:rsidRDefault="00085238" w:rsidP="00085238">
      <w:pPr>
        <w:ind w:firstLine="720"/>
        <w:jc w:val="both"/>
        <w:rPr>
          <w:bCs/>
          <w:lang w:val="vi-VN"/>
        </w:rPr>
      </w:pPr>
      <w:r w:rsidRPr="00085238">
        <w:rPr>
          <w:bCs/>
          <w:lang w:val="vi-VN"/>
        </w:rPr>
        <w:t>Tuyên truyền, cảnh báo các hành vi vi phạm bị xử lý hành chính theo quy định của pháp luật hiện hành góp phần giảm thiểu nguy cơ xảy ra các vụ hỏa hoạn đang có chiều hướng gia tăng hiện nay.</w:t>
      </w:r>
    </w:p>
    <w:p w:rsidR="00085238" w:rsidRPr="00085238" w:rsidRDefault="009B01AE" w:rsidP="00085238">
      <w:pPr>
        <w:ind w:firstLine="720"/>
        <w:jc w:val="both"/>
        <w:rPr>
          <w:b/>
          <w:bCs/>
          <w:lang w:val="vi-VN"/>
        </w:rPr>
      </w:pPr>
      <w:r>
        <w:rPr>
          <w:rFonts w:cs="Times New Roman"/>
          <w:b/>
          <w:bCs/>
          <w:szCs w:val="28"/>
          <w:lang w:val="vi-VN"/>
        </w:rPr>
        <w:t>7</w:t>
      </w:r>
      <w:r w:rsidR="00085238" w:rsidRPr="00085238">
        <w:rPr>
          <w:rFonts w:cs="Times New Roman"/>
          <w:b/>
          <w:bCs/>
          <w:szCs w:val="28"/>
          <w:lang w:val="vi-VN"/>
        </w:rPr>
        <w:t xml:space="preserve">. </w:t>
      </w:r>
      <w:r w:rsidR="00085238" w:rsidRPr="00085238">
        <w:rPr>
          <w:rFonts w:eastAsia="Times New Roman" w:cs="Times New Roman"/>
          <w:b/>
          <w:color w:val="333333"/>
          <w:kern w:val="36"/>
          <w:szCs w:val="28"/>
        </w:rPr>
        <w:t>Một số quy định về cơ chế giao quyền tự chủ tài chính cho đơn vị sự nghiệp công từ ngày 07/7/2025</w:t>
      </w:r>
    </w:p>
    <w:p w:rsidR="004322B9" w:rsidRPr="004322B9" w:rsidRDefault="004322B9" w:rsidP="004322B9">
      <w:pPr>
        <w:ind w:firstLine="720"/>
        <w:jc w:val="both"/>
        <w:rPr>
          <w:bCs/>
        </w:rPr>
      </w:pPr>
      <w:r w:rsidRPr="004322B9">
        <w:rPr>
          <w:bCs/>
        </w:rPr>
        <w:t>Ngày 22/5/2025, Chính phủ ban hành Nghị định 111/2025/NĐ-CP sửa đổi bổ sung Nghị định 60/2021/NĐ-CP ngày 21/6/2021 của Chính phủ quy định cơ chế tự chủ tài chính của đơn vị sự nghiệp công lập. Nghị định 111/2025/NĐ-CP có hiệu lực từ ngày 07/7/2025.</w:t>
      </w:r>
      <w:r>
        <w:rPr>
          <w:bCs/>
          <w:lang w:val="vi-VN"/>
        </w:rPr>
        <w:t xml:space="preserve"> </w:t>
      </w:r>
      <w:r w:rsidRPr="004322B9">
        <w:t>Theo đó, tại khoản 23 Điều 1 Nghị định 111/2025/NĐ-CP sửa đổi, bổ sung Điều 35 Nghị định 60/2021/NĐ-CP ngày 21/6/2021, cơ chế giao quyền tự chủ tài chính cho đơn vị sự nghiệp công như sau :</w:t>
      </w:r>
    </w:p>
    <w:p w:rsidR="004322B9" w:rsidRPr="004322B9" w:rsidRDefault="004322B9" w:rsidP="004322B9">
      <w:pPr>
        <w:ind w:firstLine="720"/>
        <w:jc w:val="both"/>
      </w:pPr>
      <w:r w:rsidRPr="004322B9">
        <w:t>1. Đơn vị sự nghiệp công xây dựng phương án tự chủ tài chính trong giai đoạn ổn định 05 năm, phù hợp với giai đoạn phát triển kinh tế - xã hội do Chính phủ quy định; dự toán thu, chỉ năm đầu thời kỳ ổn định và đề xuất phân loại mức độ tự chủ tài chính của đơn vị, phù hợp với chức năng, nhiệm vụ được cấp có thẩm quyền giao (theo mẫu quy định tại Phụ lục II ban hành kèm theo Nghị định này), báo cáo cơ quan quản lý cấp trên (đơn vị dự toán cấp I). Nội dung của phương án tự chủ tài chính cần xác định rõ mức độ tự chủ tài chính theo 04 nhóm đơn vị quy định tại Nghị định này.</w:t>
      </w:r>
    </w:p>
    <w:p w:rsidR="004322B9" w:rsidRPr="004322B9" w:rsidRDefault="004322B9" w:rsidP="004322B9">
      <w:pPr>
        <w:ind w:firstLine="720"/>
        <w:jc w:val="both"/>
      </w:pPr>
      <w:r w:rsidRPr="004322B9">
        <w:t>Năm cuối của mỗi thời kỳ ổn định, các đơn vị báo cáo tổng kết đánh giá tình hình thực hiện cơ chế tự chủ của thời kỳ trước, nhiệm vụ của năm kế hoạch và thời kỳ tiếp theo để xây dựng phương án tự chủ của thời kỳ ổn định tiếp theo, gửi cơ quan quản lý cấp trên xem xét trước ngày 31 tháng 3.</w:t>
      </w:r>
    </w:p>
    <w:p w:rsidR="004322B9" w:rsidRPr="004322B9" w:rsidRDefault="004322B9" w:rsidP="004322B9">
      <w:pPr>
        <w:ind w:firstLine="720"/>
        <w:jc w:val="both"/>
      </w:pPr>
      <w:r w:rsidRPr="004322B9">
        <w:t>2. Đối với đơn vị sự nghiệp công có đơn vị sự nghiệp trực thuộc</w:t>
      </w:r>
    </w:p>
    <w:p w:rsidR="004322B9" w:rsidRPr="004322B9" w:rsidRDefault="004322B9" w:rsidP="004322B9">
      <w:pPr>
        <w:ind w:firstLine="720"/>
        <w:jc w:val="both"/>
      </w:pPr>
      <w:r w:rsidRPr="004322B9">
        <w:t>a. Đơn vị sự nghiệp công xây dựng phương án tự chủ tài chính báo cáo đơn vị sự nghiệp công cấp trên trực tiếp phê duyệt sau khi có ý kiến thống nhất của cơ quan quản lý cấp trên của đơn vị sự nghiệp công cấp trên;</w:t>
      </w:r>
    </w:p>
    <w:p w:rsidR="004322B9" w:rsidRPr="004322B9" w:rsidRDefault="004322B9" w:rsidP="004322B9">
      <w:pPr>
        <w:ind w:firstLine="720"/>
        <w:jc w:val="both"/>
      </w:pPr>
      <w:r w:rsidRPr="004322B9">
        <w:lastRenderedPageBreak/>
        <w:t>b. Đơn vị sự nghiệp công cấp trên xây dựng phương án tự chủ tài chính của đơn vị (không bao gồm phương án tự chủ tài chính của đơn vị sự nghiệp công trực thuộc đã quy định tại điểm a khoản này) gửi cơ quan quản lý cấp trên</w:t>
      </w:r>
    </w:p>
    <w:p w:rsidR="004322B9" w:rsidRPr="004322B9" w:rsidRDefault="004322B9" w:rsidP="004322B9">
      <w:pPr>
        <w:ind w:firstLine="720"/>
        <w:jc w:val="both"/>
      </w:pPr>
      <w:r w:rsidRPr="004322B9">
        <w:t>c. Trường hợp đơn vị sự nghiệp công trực thuộc được xác định là đơn vị nhóm 3 hoặc nhóm 4, cơ quan quản lý cấp trên cần lấy ý kiến của cơ quan tài chính cùng cấp để làm cơ sở giao quyền tự chủ tài chính cho đơn vị sự nghiệp công quy định tại (i).</w:t>
      </w:r>
    </w:p>
    <w:p w:rsidR="004322B9" w:rsidRPr="004322B9" w:rsidRDefault="004322B9" w:rsidP="004322B9">
      <w:pPr>
        <w:ind w:firstLine="720"/>
        <w:jc w:val="both"/>
      </w:pPr>
      <w:r w:rsidRPr="004322B9">
        <w:t>3. Căn cứ phương án tự chủ tài chính do các đơn vị sự nghiệp công đề xuất (không bao gồm phương án tự chủ của đơn vị sự nghiệp công tại (i)), cơ quan quản lý cấp trên xem xét, thẩm tra dự toán thu, chỉ thường xuyên năm đầu thời kỳ ổn định và xác định kinh phí chi thường xuyên tử nguồn ngân sách nhà nước, nguồn thu phí được để lại chỉ; kinh phí ngân sách nhà nước đặt hàng cung cấp dịch vụ sự nghiệp công (trường hợp tại thời điểm thẩm định phương án tự chủ tài chính xác định được kinh phí đặt hàng cho đơn vị); dự kiến phân loại các đơn vị trực thuộc theo mức độ tự chủ tài chính, tổng hợp phương án phân loại và dự toán thu, chi của các đơn vị sự nghiệp công, có văn bản gửi cơ quan tài chính cùng cấp (Bộ Tài chính, cơ quan tài chính ở địa phương theo phân cấp, riêng đối với các quận thực hiện mô hình chính quyền đô thị là cơ quan chuyên môn quản lý tải chính của quận) xem xét, có ý kiến trước ngày 20 tháng 6 của năm cuối thời kỳ ổn định.</w:t>
      </w:r>
    </w:p>
    <w:p w:rsidR="004322B9" w:rsidRPr="004322B9" w:rsidRDefault="004322B9" w:rsidP="004322B9">
      <w:pPr>
        <w:ind w:firstLine="720"/>
        <w:jc w:val="both"/>
      </w:pPr>
      <w:r w:rsidRPr="004322B9">
        <w:t>Sau khi có ý kiến bằng văn bản của cơ quan tài chính cùng cấp, trước ngày 30 tháng 7 của năm cuối thời kỳ ổn định, cơ quan quản lý cấp trên xác định phân loại đơn vị và ra quyết định giao quyền tự chủ tài chính cho các đơn vị sự nghiệp công trực thuộc; mức hỗ trợ kinh phí chi thường xuyên từ nguồn ngân sách nhà nước, nguồn thu phí được để lại chỉ kinh phí ngân sách nhà nước đặt hàng cung cấp dịch vụ sự nghiệp công (nếu có) cho các đơn vị theo phương án tự chủ tài chính năm đầu thời kỳ ổn định.</w:t>
      </w:r>
    </w:p>
    <w:p w:rsidR="004322B9" w:rsidRPr="004322B9" w:rsidRDefault="004322B9" w:rsidP="004322B9">
      <w:pPr>
        <w:ind w:firstLine="720"/>
        <w:jc w:val="both"/>
      </w:pPr>
      <w:r w:rsidRPr="004322B9">
        <w:t xml:space="preserve">4. Sau mỗi thời kỳ ổn định (05 năm), các bộ, cơ quan trung ương (đối với đơn vị thuộc trung ương quản lý), Ủy ban nhân dân cấp tỉnh (đối với đơn vị thuộc địa phương quản lý) có trách nhiệm rà soát, nâng mức độ tự chủ tải chính của các đơn vị nhóm 3 (trừ đơn vị sự nghiệp công cung cấp dịch vụ sự nghiệp công cơ bản, thiết yếu) theo lộ trình, hằng năm thực hiện giảm tối thiểu 2,5% chỉ hỗ trợ trực tiếp từ ngân sách nhà nước đối với phần kinh phí chi thường xuyên giao tự chủ của các </w:t>
      </w:r>
      <w:r w:rsidRPr="004322B9">
        <w:lastRenderedPageBreak/>
        <w:t>đơn vị sự nghiệp công trực thuộc (sau khi trừ các khoản chi tinh tăng, giảm so với dự toán năm trước (nếu có) do thay đổi nhiệm vụ, số lượng người làm việc).</w:t>
      </w:r>
    </w:p>
    <w:p w:rsidR="004322B9" w:rsidRPr="004322B9" w:rsidRDefault="004322B9" w:rsidP="004322B9">
      <w:pPr>
        <w:ind w:firstLine="720"/>
        <w:jc w:val="both"/>
        <w:rPr>
          <w:lang w:val="vi-VN"/>
        </w:rPr>
      </w:pPr>
      <w:r w:rsidRPr="004322B9">
        <w:t>5. Đơn vị sự nghiệp công đã được cơ quan có thẩm quyền phân loại là đơn vị nhóm 1 hoặc nhóm 2 tiếp tục thực hiện theo các quy định về cơ chế tự chủ tài chính theo quy định; không được điều chỉnh phân loại sang đơn vị nhóm 3 hoặc nhóm 4 trong giai đoạn ổn định phân loại 05 năm hoặc sau giai đoạn ổn định 05 năm, trừ trường hợp đơn vị có thay đổi về chức năng, nhiệm vụ hoặc có biển động về tình hình kinh tế xã hội, thay đổi chính sách, chế độ hoặc do nguyên nhân bất khả kháng (như thiên tai, dịch bệnh, hỏa hoạn) dẫn đến biến động nguồn thu hoặc nhiệm vụ chi làm thay đổi mức độ tự chủ tài chính.</w:t>
      </w:r>
    </w:p>
    <w:p w:rsidR="004322B9" w:rsidRPr="004322B9" w:rsidRDefault="009B01AE" w:rsidP="004322B9">
      <w:pPr>
        <w:ind w:firstLine="720"/>
        <w:jc w:val="both"/>
        <w:rPr>
          <w:b/>
          <w:bCs/>
        </w:rPr>
      </w:pPr>
      <w:r>
        <w:rPr>
          <w:b/>
          <w:lang w:val="vi-VN"/>
        </w:rPr>
        <w:t>8</w:t>
      </w:r>
      <w:r w:rsidR="004322B9" w:rsidRPr="004322B9">
        <w:rPr>
          <w:b/>
          <w:lang w:val="vi-VN"/>
        </w:rPr>
        <w:t>.</w:t>
      </w:r>
      <w:r w:rsidR="004322B9">
        <w:rPr>
          <w:lang w:val="vi-VN"/>
        </w:rPr>
        <w:t xml:space="preserve"> </w:t>
      </w:r>
      <w:r w:rsidR="004322B9" w:rsidRPr="004322B9">
        <w:rPr>
          <w:b/>
          <w:bCs/>
        </w:rPr>
        <w:t>Xây dựng cơ sở dữ liệu về phòng, chống bạo lực gia đình</w:t>
      </w:r>
    </w:p>
    <w:p w:rsidR="004322B9" w:rsidRPr="004322B9" w:rsidRDefault="004322B9" w:rsidP="004322B9">
      <w:pPr>
        <w:ind w:firstLine="720"/>
        <w:jc w:val="both"/>
      </w:pPr>
      <w:r w:rsidRPr="004322B9">
        <w:t>Ngày 21/5/2025 Chính phủ ban hành Nghị định 110/2025/NĐ-CP quy định về cơ sở dữ liệu về phòng, chống bạo lực gia đình. Nghị định này có hiệu lực thi hành từ ngày 10/7/2025.</w:t>
      </w:r>
      <w:r>
        <w:rPr>
          <w:lang w:val="vi-VN"/>
        </w:rPr>
        <w:t xml:space="preserve"> </w:t>
      </w:r>
      <w:r w:rsidRPr="004322B9">
        <w:t>Theo đó, việc xây dựng Cơ sở dữ liệu quốc gia về phòng, chống bạo lực gia đình được quy định như sau:</w:t>
      </w:r>
    </w:p>
    <w:p w:rsidR="004322B9" w:rsidRDefault="004322B9" w:rsidP="004322B9">
      <w:pPr>
        <w:ind w:firstLine="720"/>
        <w:jc w:val="both"/>
        <w:rPr>
          <w:lang w:val="vi-VN"/>
        </w:rPr>
      </w:pPr>
      <w:r w:rsidRPr="004322B9">
        <w:t>1. Cơ sở dữ liệu về phòng, chống bạo lực gia đình là tập hợp thông tin về nội dung quản lý nhà nước về phòng, chống bạo lực gia đình theo quy định tại </w:t>
      </w:r>
      <w:bookmarkStart w:id="1" w:name="dc_1"/>
      <w:r w:rsidRPr="004322B9">
        <w:t>Điều 46 của Luật Phòng, chống bạo lực gia đình</w:t>
      </w:r>
      <w:bookmarkEnd w:id="1"/>
      <w:r w:rsidRPr="004322B9">
        <w:t>.</w:t>
      </w:r>
    </w:p>
    <w:p w:rsidR="004322B9" w:rsidRDefault="004322B9" w:rsidP="004322B9">
      <w:pPr>
        <w:ind w:firstLine="720"/>
        <w:jc w:val="both"/>
        <w:rPr>
          <w:lang w:val="vi-VN"/>
        </w:rPr>
      </w:pPr>
      <w:r w:rsidRPr="004322B9">
        <w:t>2. Thông tin về nội dung quản lý nhà nước về phòng, chống bạo lực gia đình được thu thập, tạo lập, cập nhật, kết nối, chia sẻ trong quá trình triển khai hoạt động quản lý nhà nước về phòng, chống bạo lực gia đình ở trung ương và địa phương.</w:t>
      </w:r>
    </w:p>
    <w:p w:rsidR="004322B9" w:rsidRDefault="004322B9" w:rsidP="004322B9">
      <w:pPr>
        <w:ind w:firstLine="720"/>
        <w:jc w:val="both"/>
        <w:rPr>
          <w:lang w:val="vi-VN"/>
        </w:rPr>
      </w:pPr>
      <w:r w:rsidRPr="004322B9">
        <w:t>3. Việc thu thập, tạo lập, cập nhật, kết nối, chia sẻ, quản lý, khai thác, sử dụng Cơ sở dữ liệu về phòng, chống bạo lực gia đình được thực hiện thống nhất trên toàn quốc thông qua phần mềm quản lý Cơ sở dữ liệu về phòng, chống bạo lực gia đình nhằm:</w:t>
      </w:r>
    </w:p>
    <w:p w:rsidR="004322B9" w:rsidRDefault="004322B9" w:rsidP="004322B9">
      <w:pPr>
        <w:ind w:firstLine="720"/>
        <w:jc w:val="both"/>
        <w:rPr>
          <w:lang w:val="vi-VN"/>
        </w:rPr>
      </w:pPr>
      <w:r w:rsidRPr="004322B9">
        <w:t>- Phục vụ yêu cầu quản lý nhà nước, xây dựng chính sách về phòng, chống bạo lực gia đình;</w:t>
      </w:r>
    </w:p>
    <w:p w:rsidR="004322B9" w:rsidRDefault="004322B9" w:rsidP="004322B9">
      <w:pPr>
        <w:ind w:firstLine="720"/>
        <w:jc w:val="both"/>
        <w:rPr>
          <w:lang w:val="vi-VN"/>
        </w:rPr>
      </w:pPr>
      <w:r w:rsidRPr="004322B9">
        <w:lastRenderedPageBreak/>
        <w:t>- Cung cấp thông tin, dữ liệu phục vụ việc bảo vệ, hỗ trợ người bị bạo lực gia đình; ngăn chặn hành vi bạo lực gia đình; xử lý vi phạm pháp luật về phòng, chống bạo lực gia đình;</w:t>
      </w:r>
    </w:p>
    <w:p w:rsidR="004322B9" w:rsidRDefault="004322B9" w:rsidP="004322B9">
      <w:pPr>
        <w:ind w:firstLine="720"/>
        <w:jc w:val="both"/>
        <w:rPr>
          <w:lang w:val="vi-VN"/>
        </w:rPr>
      </w:pPr>
      <w:r w:rsidRPr="004322B9">
        <w:t>- Rút ngắn thời gian và giảm nguồn lực thực hiện quy trình thu thập, báo cáo thông tin, dữ liệu về phòng, chống bạo lực gia đình, kịp thời cung cấp thông tin, bằng chứng phục vụ nhu cầu quản lý, nghiên cứu, đánh giá hiệu quả chính sách, nâng cao độ tin cậy của thông tin, dữ liệu về phòng, chống bạo lực gia đình;</w:t>
      </w:r>
    </w:p>
    <w:p w:rsidR="004322B9" w:rsidRDefault="004322B9" w:rsidP="004322B9">
      <w:pPr>
        <w:ind w:firstLine="720"/>
        <w:jc w:val="both"/>
        <w:rPr>
          <w:lang w:val="vi-VN"/>
        </w:rPr>
      </w:pPr>
      <w:r w:rsidRPr="004322B9">
        <w:t>- Đơn giản hóa thủ tục hành chính, đẩy mạnh phân cấp, phân quyền trong việc thu thập, tạo lập, cập nhật, kết nối, chia sẻ, quản lý, khai thác, sử dụng thông tin trong Cơ sở dữ liệu về phòng, chống bạo lực gia đình, cung cấp dịch vụ công trực tuyến về phòng, chống bạo lực gia đình, phục vụ nhu cầu tiếp cận thông tin của cơ quan, tổ chức, cá nhân theo quy định của pháp luật.</w:t>
      </w:r>
    </w:p>
    <w:p w:rsidR="004322B9" w:rsidRDefault="004322B9" w:rsidP="004322B9">
      <w:pPr>
        <w:ind w:firstLine="720"/>
        <w:jc w:val="both"/>
        <w:rPr>
          <w:lang w:val="vi-VN"/>
        </w:rPr>
      </w:pPr>
      <w:r w:rsidRPr="004322B9">
        <w:t>4. Thông tin trong Cơ sở dữ liệu về phòng, chống bạo lực gia đình được cơ quan nhà nước có thẩm quyền cung cấp có giá trị pháp lý được xác định như sau:</w:t>
      </w:r>
    </w:p>
    <w:p w:rsidR="004322B9" w:rsidRDefault="004322B9" w:rsidP="004322B9">
      <w:pPr>
        <w:ind w:firstLine="720"/>
        <w:jc w:val="both"/>
        <w:rPr>
          <w:lang w:val="vi-VN"/>
        </w:rPr>
      </w:pPr>
      <w:r w:rsidRPr="004322B9">
        <w:t>- Thông tin trong Cơ sở dữ liệu về phòng, chống bạo lực gia đình được cơ quan có thẩm quyền cung cấp dưới dạng thông điệp dữ liệu có giá trị pháp lý theo quy định của pháp luật về giao dịch điện tử;</w:t>
      </w:r>
    </w:p>
    <w:p w:rsidR="004322B9" w:rsidRDefault="004322B9" w:rsidP="004322B9">
      <w:pPr>
        <w:ind w:firstLine="720"/>
        <w:jc w:val="both"/>
        <w:rPr>
          <w:lang w:val="vi-VN"/>
        </w:rPr>
      </w:pPr>
      <w:r w:rsidRPr="004322B9">
        <w:t>- Thông tin trong Cơ sở dữ liệu về phòng, chống bạo lực gia đình được kết nối, chia sẻ với các cơ sở dữ liệu quốc gia, cơ sở dữ liệu chuyên ngành, Trung tâm dữ liệu quốc gia, cơ sở dữ liệu, hệ thống thông tin khác của cơ quan nhà nước thông qua Nền tảng chia sẻ, điều phối dữ liệu, Nền tảng tích hợp, chia sẻ dữ liệu quốc gia, Trục liên thông văn bản quốc gia, Nền tảng tích hợp, chia sẻ dữ liệu cấp bộ, cấp tỉnh, mạng Internet, mạng máy tính, hệ thống thông tin, được thể hiện dưới các hình thức thông điệp dữ liệu có giá trị pháp lý theo quy định của pháp luật về giao dịch điện tử;</w:t>
      </w:r>
    </w:p>
    <w:p w:rsidR="004322B9" w:rsidRDefault="004322B9" w:rsidP="004322B9">
      <w:pPr>
        <w:ind w:firstLine="720"/>
        <w:jc w:val="both"/>
        <w:rPr>
          <w:lang w:val="vi-VN"/>
        </w:rPr>
      </w:pPr>
      <w:r w:rsidRPr="004322B9">
        <w:t>- Thông tin trong Cơ sở dữ liệu về phòng, chống bạo lực gia đình là cơ sở để cơ quan nhà nước có thẩm quyền xem xét áp dụng các biện pháp ngăn chặn, bảo vệ, hỗ trợ người bị bạo lực gia đình, xử lý hành vi vi phạm pháp luật trong phòng, chống bạo lực gia đình;</w:t>
      </w:r>
    </w:p>
    <w:p w:rsidR="004322B9" w:rsidRPr="004322B9" w:rsidRDefault="004322B9" w:rsidP="004322B9">
      <w:pPr>
        <w:ind w:firstLine="720"/>
        <w:jc w:val="both"/>
      </w:pPr>
      <w:r w:rsidRPr="004322B9">
        <w:lastRenderedPageBreak/>
        <w:t>- Thông tin trong Cơ sở dữ liệu về phòng, chống bạo lực gia đình được cơ quan nhà nước có thẩm quyền cung cấp qua Cổng Thông tin về phòng, chống bạo lực gia đình ở trung ương, địa phương có giá trị nghiên cứu, học tập, tham khảo.</w:t>
      </w:r>
    </w:p>
    <w:p w:rsidR="006D40FC" w:rsidRPr="006D40FC" w:rsidRDefault="009B01AE" w:rsidP="006D40FC">
      <w:pPr>
        <w:ind w:firstLine="720"/>
        <w:jc w:val="both"/>
        <w:rPr>
          <w:b/>
          <w:bCs/>
        </w:rPr>
      </w:pPr>
      <w:r>
        <w:rPr>
          <w:b/>
          <w:lang w:val="vi-VN"/>
        </w:rPr>
        <w:t>9</w:t>
      </w:r>
      <w:r w:rsidR="006D40FC" w:rsidRPr="006D40FC">
        <w:rPr>
          <w:b/>
          <w:lang w:val="vi-VN"/>
        </w:rPr>
        <w:t>.</w:t>
      </w:r>
      <w:r w:rsidR="006D40FC">
        <w:rPr>
          <w:lang w:val="vi-VN"/>
        </w:rPr>
        <w:t xml:space="preserve"> </w:t>
      </w:r>
      <w:r w:rsidR="006D40FC" w:rsidRPr="006D40FC">
        <w:rPr>
          <w:b/>
          <w:bCs/>
        </w:rPr>
        <w:t>Sổ sức khoẻ điện tử sẽ thay thế giấy tờ liên quan trong khám, chữa bệnh</w:t>
      </w:r>
      <w:r w:rsidR="006D40FC">
        <w:rPr>
          <w:b/>
          <w:bCs/>
          <w:lang w:val="vi-VN"/>
        </w:rPr>
        <w:t xml:space="preserve"> t</w:t>
      </w:r>
      <w:r w:rsidR="006D40FC" w:rsidRPr="006D40FC">
        <w:rPr>
          <w:b/>
          <w:bCs/>
        </w:rPr>
        <w:t>ừ ngày 01/7/2025</w:t>
      </w:r>
    </w:p>
    <w:p w:rsidR="006D40FC" w:rsidRDefault="006D40FC" w:rsidP="006D40FC">
      <w:pPr>
        <w:ind w:firstLine="720"/>
        <w:jc w:val="both"/>
        <w:rPr>
          <w:lang w:val="vi-VN"/>
        </w:rPr>
      </w:pPr>
      <w:r w:rsidRPr="006D40FC">
        <w:t>Ngày 13/5/2025 Chính phủ đã ban hành Nghị định số 102/2025/NĐ-CP quy định quản lý dữ liệu y tế.</w:t>
      </w:r>
      <w:r>
        <w:rPr>
          <w:lang w:val="vi-VN"/>
        </w:rPr>
        <w:t xml:space="preserve"> </w:t>
      </w:r>
      <w:r w:rsidRPr="006D40FC">
        <w:t>Theo đó, Sổ sức khỏe điện tử là ứng dụng hoặc phần mềm công nghệ thông tin để cập nhật, hiển thị, tra cứu, lưu trữ thông tin tóm tắt quá trình phòng bệnh, khám bệnh, chữa bệnh và chăm sóc sức khỏe của cá nhân. Nghị định số 102/2025/NĐ-CP quy định về sử dụng dữ liệu y tế để triển khai sổ sức khỏe điện tử, cụ thể như sau:</w:t>
      </w:r>
    </w:p>
    <w:p w:rsidR="006D40FC" w:rsidRDefault="006D40FC" w:rsidP="006D40FC">
      <w:pPr>
        <w:ind w:firstLine="720"/>
        <w:jc w:val="both"/>
        <w:rPr>
          <w:lang w:val="vi-VN"/>
        </w:rPr>
      </w:pPr>
      <w:r w:rsidRPr="006D40FC">
        <w:t>- Dữ liệu y tế về phòng bệnh, khám bệnh, chữa bệnh, chăm sóc sức khỏe và các thông tin liên quan được sử dụng để triển khai Sổ sức khỏe điện tử;</w:t>
      </w:r>
    </w:p>
    <w:p w:rsidR="006D40FC" w:rsidRDefault="006D40FC" w:rsidP="006D40FC">
      <w:pPr>
        <w:ind w:firstLine="720"/>
        <w:jc w:val="both"/>
        <w:rPr>
          <w:lang w:val="vi-VN"/>
        </w:rPr>
      </w:pPr>
      <w:r w:rsidRPr="006D40FC">
        <w:t>- Các cơ sở y tế hoạt động hợp pháp tại Việt Nam có trách nhiệm kết nối, chia sẻ, liên thông dữ liệu y tế liên quan với Sổ sức khỏe điện tử tích hợp trên ứng dụng định danh quốc gia;</w:t>
      </w:r>
    </w:p>
    <w:p w:rsidR="006D40FC" w:rsidRPr="006D40FC" w:rsidRDefault="006D40FC" w:rsidP="006D40FC">
      <w:pPr>
        <w:ind w:firstLine="720"/>
        <w:jc w:val="both"/>
        <w:rPr>
          <w:lang w:val="vi-VN"/>
        </w:rPr>
      </w:pPr>
      <w:r w:rsidRPr="006D40FC">
        <w:t>- Cơ sở y tế hoạt động hợp pháp theo quy định của pháp luật, công dân Việt Nam hoặc người nước ngoài đã được cấp tài khoản định danh điện tử được sử dụng Sổ sức khoẻ điện tử tích hợp trên ứng dụng định danh quốc gia để thay thế giấy tờ liên quan trong quá trình phòng bệnh, khám bệnh, chữa bệnh, chăm sóc sức khỏe theo quy định.</w:t>
      </w:r>
    </w:p>
    <w:p w:rsidR="006D40FC" w:rsidRPr="006D40FC" w:rsidRDefault="006D40FC" w:rsidP="006D40FC">
      <w:pPr>
        <w:ind w:firstLine="720"/>
        <w:jc w:val="both"/>
        <w:rPr>
          <w:b/>
          <w:bCs/>
        </w:rPr>
      </w:pPr>
      <w:r w:rsidRPr="006D40FC">
        <w:rPr>
          <w:b/>
          <w:bCs/>
          <w:lang w:val="vi-VN"/>
        </w:rPr>
        <w:t>1</w:t>
      </w:r>
      <w:r w:rsidR="009B01AE">
        <w:rPr>
          <w:b/>
          <w:bCs/>
          <w:lang w:val="vi-VN"/>
        </w:rPr>
        <w:t>0</w:t>
      </w:r>
      <w:r w:rsidRPr="006D40FC">
        <w:rPr>
          <w:b/>
          <w:bCs/>
          <w:lang w:val="vi-VN"/>
        </w:rPr>
        <w:t>.</w:t>
      </w:r>
      <w:r>
        <w:rPr>
          <w:bCs/>
          <w:lang w:val="vi-VN"/>
        </w:rPr>
        <w:t xml:space="preserve"> </w:t>
      </w:r>
      <w:r w:rsidRPr="006D40FC">
        <w:rPr>
          <w:b/>
          <w:bCs/>
        </w:rPr>
        <w:t>Chính phủ ban hành nghị định hướng dẫn Luật Công chứng</w:t>
      </w:r>
    </w:p>
    <w:p w:rsidR="006D40FC" w:rsidRPr="006D40FC" w:rsidRDefault="006D40FC" w:rsidP="006D40FC">
      <w:pPr>
        <w:ind w:firstLine="720"/>
        <w:jc w:val="both"/>
        <w:rPr>
          <w:bCs/>
        </w:rPr>
      </w:pPr>
      <w:r w:rsidRPr="006D40FC">
        <w:rPr>
          <w:bCs/>
        </w:rPr>
        <w:t>Ngày 15/5/2025 Chính phủ vừa ban hành Nghị định số 104/2025/NĐ-CP quy định chi tiết một số điều và biện pháp thi hành Luật Công chứng. Nghị định này thay thế Nghị định số 29/2015/NĐ-CP quy định chi tiết và hướng dẫn thi hành một số điều của Luật Công chứng và có hiệu lực kể từ ngày 01/7/2025.</w:t>
      </w:r>
    </w:p>
    <w:p w:rsidR="006D40FC" w:rsidRDefault="006D40FC" w:rsidP="006D40FC">
      <w:pPr>
        <w:ind w:firstLine="720"/>
        <w:jc w:val="both"/>
        <w:rPr>
          <w:bCs/>
          <w:lang w:val="vi-VN"/>
        </w:rPr>
      </w:pPr>
      <w:r w:rsidRPr="006D40FC">
        <w:rPr>
          <w:bCs/>
        </w:rPr>
        <w:t xml:space="preserve">Nghị định này quy định chi tiết khoản 3 Điều 22, Điều 30, Điều 31, Điều 34, khoản 3 Điều 39, Điều 41, khoản 4 Điều 59, Điều 63, Điều 64, khoản 3 Điều 65, Điều 66 và Điều 68 của Luật Công chứng. Quy định biện pháp để tổ chức thực hiện và hướng dẫn thi hành các nội dung tại Điều 8, khoản 5 Điều 11, khoản 2 </w:t>
      </w:r>
      <w:r w:rsidRPr="006D40FC">
        <w:rPr>
          <w:bCs/>
        </w:rPr>
        <w:lastRenderedPageBreak/>
        <w:t>Điều 13, khoản 4 Điều 15, khoản 3 Điều 16, khoản 4 Điều 17, khoản 3 Điều 19, điểm b khoản 2 và khoản 6 Điều 20, khoản 1 và khoản 5 Điều 23, khoản 3 và khoản 4 Điều 24, khoản 4 Điều 25, khoản 4 Điều 26, khoản 3 Điều 29, điểm d khoản 2 Điều 46, khoản 1 Điều 50, khoản 3 Điều 51, khoản 4 Điều 52, khoản 3 Điều 61 và khoản 2 Điều 62 của Luật Công chứng.</w:t>
      </w:r>
    </w:p>
    <w:p w:rsidR="00EA62F1" w:rsidRDefault="006D40FC" w:rsidP="006D40FC">
      <w:pPr>
        <w:ind w:firstLine="720"/>
        <w:jc w:val="both"/>
        <w:rPr>
          <w:bCs/>
          <w:lang w:val="vi-VN"/>
        </w:rPr>
      </w:pPr>
      <w:r w:rsidRPr="006D40FC">
        <w:rPr>
          <w:bCs/>
        </w:rPr>
        <w:t>Đối tượng áp dụng của nghị định này là công chứng viên, viên chức lãnh sự, viên chức ngoại giao được giao thực hiện công chứng (sau đây gọi là viên chức ngoại giao), tổ chức hành nghề công chứng, cơ quan đại diện ngoại giao, cơc quan đại diện lãnh sự của nước Cộng hòa xã hội chủ nghĩa Việt Nam ở nước ngoài (sau đây gọi là Cơ quan đại diện ngoại giao), tổ chức xã hội - nghề nghiệp của công chứng viên, người yêu cầu công chứng, cơ quan quản lý nhà nước về công chứng và cá nhân, cơ quan, tổ chức có liên quan.</w:t>
      </w:r>
    </w:p>
    <w:p w:rsidR="006D40FC" w:rsidRDefault="006D40FC" w:rsidP="006D40FC">
      <w:pPr>
        <w:ind w:firstLine="720"/>
        <w:jc w:val="both"/>
        <w:rPr>
          <w:bCs/>
          <w:lang w:val="vi-VN"/>
        </w:rPr>
      </w:pPr>
      <w:r w:rsidRPr="006D40FC">
        <w:rPr>
          <w:b/>
          <w:bCs/>
        </w:rPr>
        <w:t>Điều khoản chuyển tiếp cần lưu ý:</w:t>
      </w:r>
    </w:p>
    <w:p w:rsidR="006D40FC" w:rsidRDefault="006D40FC" w:rsidP="006D40FC">
      <w:pPr>
        <w:ind w:firstLine="720"/>
        <w:jc w:val="both"/>
        <w:rPr>
          <w:bCs/>
          <w:lang w:val="vi-VN"/>
        </w:rPr>
      </w:pPr>
      <w:r w:rsidRPr="006D40FC">
        <w:rPr>
          <w:bCs/>
        </w:rPr>
        <w:t>1. Văn phòng công chứng thành lập trước ngày Nghị định này có hiệu lực thi hành mà chưa có Điều lệ của Văn phòng công chứng thì phải xây dựng Điều lệ theo quy định tại điểm c khoản 1 Điều 19 của Nghị định này. Trong thời hạn 03 tháng kể từ ngày Nghị định này có hiệu lực, Văn phòng công chứng nộp trực tiếp hoặc qua dịch vụ bưu chính hoặc trực tuyến trên môi trường điện tử về Sở Tư pháp nơi đăng ký hoạt động văn bản thông báo kèm theo 01 bản Điều lệ của tổ chức mình.</w:t>
      </w:r>
    </w:p>
    <w:p w:rsidR="006D40FC" w:rsidRDefault="006D40FC" w:rsidP="006D40FC">
      <w:pPr>
        <w:ind w:firstLine="720"/>
        <w:jc w:val="both"/>
        <w:rPr>
          <w:bCs/>
          <w:lang w:val="vi-VN"/>
        </w:rPr>
      </w:pPr>
      <w:r w:rsidRPr="006D40FC">
        <w:rPr>
          <w:bCs/>
        </w:rPr>
        <w:t>2. Phòng công chứng, Văn phòng công chứng thành lập trước ngày Nghị định này có hiệu lực thi hành mà chưa đáp ứng các điều kiện về trụ sở quy định tại Nghị định này vẫn được tiếp tục hoạt động; trường hợp Phòng công chứng, Văn phòng công chứng này thay đổi địa chỉ trụ sở thì phải đáp ứng các điều kiện về trụ sở quy định tại Điều 8, Điều 18 của Nghị định này.</w:t>
      </w:r>
    </w:p>
    <w:p w:rsidR="006D40FC" w:rsidRPr="006D40FC" w:rsidRDefault="006D40FC" w:rsidP="006D40FC">
      <w:pPr>
        <w:ind w:firstLine="720"/>
        <w:jc w:val="both"/>
        <w:rPr>
          <w:bCs/>
        </w:rPr>
      </w:pPr>
      <w:r w:rsidRPr="006D40FC">
        <w:rPr>
          <w:bCs/>
        </w:rPr>
        <w:t>3. Sau khi chính quyền địa phương được chuyển thành mô hình chính quyền 02 cấp thì địa bàn cấp huyện được quy định tại khoản 1 Điều 17, điểm b và điểm e khoản 1 Điều 63 của Nghị định này được thay bằng địa bàn cấp xã đáp ứng các tiêu chí, điều kiện theo quy định của Luật Công chứng và pháp luật có liên quan.</w:t>
      </w:r>
    </w:p>
    <w:p w:rsidR="006D40FC" w:rsidRPr="006D40FC" w:rsidRDefault="006D40FC" w:rsidP="006D40FC">
      <w:pPr>
        <w:ind w:firstLine="720"/>
        <w:jc w:val="both"/>
        <w:rPr>
          <w:bCs/>
          <w:lang w:val="vi-VN"/>
        </w:rPr>
      </w:pPr>
    </w:p>
    <w:p w:rsidR="00085238" w:rsidRPr="006D40FC" w:rsidRDefault="00085238" w:rsidP="00085238">
      <w:pPr>
        <w:ind w:firstLine="720"/>
        <w:jc w:val="both"/>
        <w:rPr>
          <w:lang w:val="vi-VN"/>
        </w:rPr>
      </w:pPr>
    </w:p>
    <w:sectPr w:rsidR="00085238" w:rsidRPr="006D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E5"/>
    <w:rsid w:val="000653E5"/>
    <w:rsid w:val="00085238"/>
    <w:rsid w:val="004322B9"/>
    <w:rsid w:val="00473702"/>
    <w:rsid w:val="00506B95"/>
    <w:rsid w:val="006D40FC"/>
    <w:rsid w:val="009B01AE"/>
    <w:rsid w:val="00EA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99977-FEC8-48F2-AD5E-2136DEF3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53E5"/>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3E5"/>
    <w:pPr>
      <w:ind w:left="720"/>
      <w:contextualSpacing/>
    </w:pPr>
  </w:style>
  <w:style w:type="character" w:customStyle="1" w:styleId="Heading1Char">
    <w:name w:val="Heading 1 Char"/>
    <w:basedOn w:val="DefaultParagraphFont"/>
    <w:link w:val="Heading1"/>
    <w:uiPriority w:val="9"/>
    <w:rsid w:val="000653E5"/>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4531">
      <w:bodyDiv w:val="1"/>
      <w:marLeft w:val="0"/>
      <w:marRight w:val="0"/>
      <w:marTop w:val="0"/>
      <w:marBottom w:val="0"/>
      <w:divBdr>
        <w:top w:val="none" w:sz="0" w:space="0" w:color="auto"/>
        <w:left w:val="none" w:sz="0" w:space="0" w:color="auto"/>
        <w:bottom w:val="none" w:sz="0" w:space="0" w:color="auto"/>
        <w:right w:val="none" w:sz="0" w:space="0" w:color="auto"/>
      </w:divBdr>
    </w:div>
    <w:div w:id="287862270">
      <w:bodyDiv w:val="1"/>
      <w:marLeft w:val="0"/>
      <w:marRight w:val="0"/>
      <w:marTop w:val="0"/>
      <w:marBottom w:val="0"/>
      <w:divBdr>
        <w:top w:val="none" w:sz="0" w:space="0" w:color="auto"/>
        <w:left w:val="none" w:sz="0" w:space="0" w:color="auto"/>
        <w:bottom w:val="none" w:sz="0" w:space="0" w:color="auto"/>
        <w:right w:val="none" w:sz="0" w:space="0" w:color="auto"/>
      </w:divBdr>
    </w:div>
    <w:div w:id="338317055">
      <w:bodyDiv w:val="1"/>
      <w:marLeft w:val="0"/>
      <w:marRight w:val="0"/>
      <w:marTop w:val="0"/>
      <w:marBottom w:val="0"/>
      <w:divBdr>
        <w:top w:val="none" w:sz="0" w:space="0" w:color="auto"/>
        <w:left w:val="none" w:sz="0" w:space="0" w:color="auto"/>
        <w:bottom w:val="none" w:sz="0" w:space="0" w:color="auto"/>
        <w:right w:val="none" w:sz="0" w:space="0" w:color="auto"/>
      </w:divBdr>
    </w:div>
    <w:div w:id="553661428">
      <w:bodyDiv w:val="1"/>
      <w:marLeft w:val="0"/>
      <w:marRight w:val="0"/>
      <w:marTop w:val="0"/>
      <w:marBottom w:val="0"/>
      <w:divBdr>
        <w:top w:val="none" w:sz="0" w:space="0" w:color="auto"/>
        <w:left w:val="none" w:sz="0" w:space="0" w:color="auto"/>
        <w:bottom w:val="none" w:sz="0" w:space="0" w:color="auto"/>
        <w:right w:val="none" w:sz="0" w:space="0" w:color="auto"/>
      </w:divBdr>
    </w:div>
    <w:div w:id="556548043">
      <w:bodyDiv w:val="1"/>
      <w:marLeft w:val="0"/>
      <w:marRight w:val="0"/>
      <w:marTop w:val="0"/>
      <w:marBottom w:val="0"/>
      <w:divBdr>
        <w:top w:val="none" w:sz="0" w:space="0" w:color="auto"/>
        <w:left w:val="none" w:sz="0" w:space="0" w:color="auto"/>
        <w:bottom w:val="none" w:sz="0" w:space="0" w:color="auto"/>
        <w:right w:val="none" w:sz="0" w:space="0" w:color="auto"/>
      </w:divBdr>
      <w:divsChild>
        <w:div w:id="1633320638">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
          </w:divsChild>
        </w:div>
        <w:div w:id="1889485366">
          <w:marLeft w:val="0"/>
          <w:marRight w:val="0"/>
          <w:marTop w:val="0"/>
          <w:marBottom w:val="75"/>
          <w:divBdr>
            <w:top w:val="none" w:sz="0" w:space="0" w:color="auto"/>
            <w:left w:val="none" w:sz="0" w:space="0" w:color="auto"/>
            <w:bottom w:val="none" w:sz="0" w:space="0" w:color="auto"/>
            <w:right w:val="none" w:sz="0" w:space="0" w:color="auto"/>
          </w:divBdr>
        </w:div>
      </w:divsChild>
    </w:div>
    <w:div w:id="592860926">
      <w:bodyDiv w:val="1"/>
      <w:marLeft w:val="0"/>
      <w:marRight w:val="0"/>
      <w:marTop w:val="0"/>
      <w:marBottom w:val="0"/>
      <w:divBdr>
        <w:top w:val="none" w:sz="0" w:space="0" w:color="auto"/>
        <w:left w:val="none" w:sz="0" w:space="0" w:color="auto"/>
        <w:bottom w:val="none" w:sz="0" w:space="0" w:color="auto"/>
        <w:right w:val="none" w:sz="0" w:space="0" w:color="auto"/>
      </w:divBdr>
      <w:divsChild>
        <w:div w:id="104279493">
          <w:marLeft w:val="0"/>
          <w:marRight w:val="0"/>
          <w:marTop w:val="0"/>
          <w:marBottom w:val="0"/>
          <w:divBdr>
            <w:top w:val="none" w:sz="0" w:space="0" w:color="auto"/>
            <w:left w:val="none" w:sz="0" w:space="0" w:color="auto"/>
            <w:bottom w:val="none" w:sz="0" w:space="0" w:color="auto"/>
            <w:right w:val="none" w:sz="0" w:space="0" w:color="auto"/>
          </w:divBdr>
          <w:divsChild>
            <w:div w:id="1052388515">
              <w:marLeft w:val="0"/>
              <w:marRight w:val="0"/>
              <w:marTop w:val="0"/>
              <w:marBottom w:val="0"/>
              <w:divBdr>
                <w:top w:val="none" w:sz="0" w:space="0" w:color="auto"/>
                <w:left w:val="none" w:sz="0" w:space="0" w:color="auto"/>
                <w:bottom w:val="none" w:sz="0" w:space="0" w:color="auto"/>
                <w:right w:val="none" w:sz="0" w:space="0" w:color="auto"/>
              </w:divBdr>
            </w:div>
          </w:divsChild>
        </w:div>
        <w:div w:id="36662000">
          <w:marLeft w:val="0"/>
          <w:marRight w:val="0"/>
          <w:marTop w:val="0"/>
          <w:marBottom w:val="75"/>
          <w:divBdr>
            <w:top w:val="none" w:sz="0" w:space="0" w:color="auto"/>
            <w:left w:val="none" w:sz="0" w:space="0" w:color="auto"/>
            <w:bottom w:val="none" w:sz="0" w:space="0" w:color="auto"/>
            <w:right w:val="none" w:sz="0" w:space="0" w:color="auto"/>
          </w:divBdr>
        </w:div>
      </w:divsChild>
    </w:div>
    <w:div w:id="654915076">
      <w:bodyDiv w:val="1"/>
      <w:marLeft w:val="0"/>
      <w:marRight w:val="0"/>
      <w:marTop w:val="0"/>
      <w:marBottom w:val="0"/>
      <w:divBdr>
        <w:top w:val="none" w:sz="0" w:space="0" w:color="auto"/>
        <w:left w:val="none" w:sz="0" w:space="0" w:color="auto"/>
        <w:bottom w:val="none" w:sz="0" w:space="0" w:color="auto"/>
        <w:right w:val="none" w:sz="0" w:space="0" w:color="auto"/>
      </w:divBdr>
    </w:div>
    <w:div w:id="676999390">
      <w:bodyDiv w:val="1"/>
      <w:marLeft w:val="0"/>
      <w:marRight w:val="0"/>
      <w:marTop w:val="0"/>
      <w:marBottom w:val="0"/>
      <w:divBdr>
        <w:top w:val="none" w:sz="0" w:space="0" w:color="auto"/>
        <w:left w:val="none" w:sz="0" w:space="0" w:color="auto"/>
        <w:bottom w:val="none" w:sz="0" w:space="0" w:color="auto"/>
        <w:right w:val="none" w:sz="0" w:space="0" w:color="auto"/>
      </w:divBdr>
      <w:divsChild>
        <w:div w:id="1306936058">
          <w:marLeft w:val="0"/>
          <w:marRight w:val="0"/>
          <w:marTop w:val="0"/>
          <w:marBottom w:val="0"/>
          <w:divBdr>
            <w:top w:val="none" w:sz="0" w:space="0" w:color="auto"/>
            <w:left w:val="none" w:sz="0" w:space="0" w:color="auto"/>
            <w:bottom w:val="none" w:sz="0" w:space="0" w:color="auto"/>
            <w:right w:val="none" w:sz="0" w:space="0" w:color="auto"/>
          </w:divBdr>
          <w:divsChild>
            <w:div w:id="371153134">
              <w:marLeft w:val="0"/>
              <w:marRight w:val="0"/>
              <w:marTop w:val="0"/>
              <w:marBottom w:val="0"/>
              <w:divBdr>
                <w:top w:val="none" w:sz="0" w:space="0" w:color="auto"/>
                <w:left w:val="none" w:sz="0" w:space="0" w:color="auto"/>
                <w:bottom w:val="none" w:sz="0" w:space="0" w:color="auto"/>
                <w:right w:val="none" w:sz="0" w:space="0" w:color="auto"/>
              </w:divBdr>
            </w:div>
          </w:divsChild>
        </w:div>
        <w:div w:id="3749179">
          <w:marLeft w:val="0"/>
          <w:marRight w:val="0"/>
          <w:marTop w:val="0"/>
          <w:marBottom w:val="75"/>
          <w:divBdr>
            <w:top w:val="none" w:sz="0" w:space="0" w:color="auto"/>
            <w:left w:val="none" w:sz="0" w:space="0" w:color="auto"/>
            <w:bottom w:val="none" w:sz="0" w:space="0" w:color="auto"/>
            <w:right w:val="none" w:sz="0" w:space="0" w:color="auto"/>
          </w:divBdr>
        </w:div>
      </w:divsChild>
    </w:div>
    <w:div w:id="690648512">
      <w:bodyDiv w:val="1"/>
      <w:marLeft w:val="0"/>
      <w:marRight w:val="0"/>
      <w:marTop w:val="0"/>
      <w:marBottom w:val="0"/>
      <w:divBdr>
        <w:top w:val="none" w:sz="0" w:space="0" w:color="auto"/>
        <w:left w:val="none" w:sz="0" w:space="0" w:color="auto"/>
        <w:bottom w:val="none" w:sz="0" w:space="0" w:color="auto"/>
        <w:right w:val="none" w:sz="0" w:space="0" w:color="auto"/>
      </w:divBdr>
    </w:div>
    <w:div w:id="692537159">
      <w:bodyDiv w:val="1"/>
      <w:marLeft w:val="0"/>
      <w:marRight w:val="0"/>
      <w:marTop w:val="0"/>
      <w:marBottom w:val="0"/>
      <w:divBdr>
        <w:top w:val="none" w:sz="0" w:space="0" w:color="auto"/>
        <w:left w:val="none" w:sz="0" w:space="0" w:color="auto"/>
        <w:bottom w:val="none" w:sz="0" w:space="0" w:color="auto"/>
        <w:right w:val="none" w:sz="0" w:space="0" w:color="auto"/>
      </w:divBdr>
    </w:div>
    <w:div w:id="1020886821">
      <w:bodyDiv w:val="1"/>
      <w:marLeft w:val="0"/>
      <w:marRight w:val="0"/>
      <w:marTop w:val="0"/>
      <w:marBottom w:val="0"/>
      <w:divBdr>
        <w:top w:val="none" w:sz="0" w:space="0" w:color="auto"/>
        <w:left w:val="none" w:sz="0" w:space="0" w:color="auto"/>
        <w:bottom w:val="none" w:sz="0" w:space="0" w:color="auto"/>
        <w:right w:val="none" w:sz="0" w:space="0" w:color="auto"/>
      </w:divBdr>
      <w:divsChild>
        <w:div w:id="986711986">
          <w:marLeft w:val="0"/>
          <w:marRight w:val="0"/>
          <w:marTop w:val="0"/>
          <w:marBottom w:val="0"/>
          <w:divBdr>
            <w:top w:val="none" w:sz="0" w:space="0" w:color="auto"/>
            <w:left w:val="none" w:sz="0" w:space="0" w:color="auto"/>
            <w:bottom w:val="none" w:sz="0" w:space="0" w:color="auto"/>
            <w:right w:val="none" w:sz="0" w:space="0" w:color="auto"/>
          </w:divBdr>
          <w:divsChild>
            <w:div w:id="535314441">
              <w:marLeft w:val="0"/>
              <w:marRight w:val="0"/>
              <w:marTop w:val="0"/>
              <w:marBottom w:val="0"/>
              <w:divBdr>
                <w:top w:val="none" w:sz="0" w:space="0" w:color="auto"/>
                <w:left w:val="none" w:sz="0" w:space="0" w:color="auto"/>
                <w:bottom w:val="none" w:sz="0" w:space="0" w:color="auto"/>
                <w:right w:val="none" w:sz="0" w:space="0" w:color="auto"/>
              </w:divBdr>
            </w:div>
          </w:divsChild>
        </w:div>
        <w:div w:id="995382543">
          <w:marLeft w:val="0"/>
          <w:marRight w:val="0"/>
          <w:marTop w:val="0"/>
          <w:marBottom w:val="75"/>
          <w:divBdr>
            <w:top w:val="none" w:sz="0" w:space="0" w:color="auto"/>
            <w:left w:val="none" w:sz="0" w:space="0" w:color="auto"/>
            <w:bottom w:val="none" w:sz="0" w:space="0" w:color="auto"/>
            <w:right w:val="none" w:sz="0" w:space="0" w:color="auto"/>
          </w:divBdr>
        </w:div>
      </w:divsChild>
    </w:div>
    <w:div w:id="1222982957">
      <w:bodyDiv w:val="1"/>
      <w:marLeft w:val="0"/>
      <w:marRight w:val="0"/>
      <w:marTop w:val="0"/>
      <w:marBottom w:val="0"/>
      <w:divBdr>
        <w:top w:val="none" w:sz="0" w:space="0" w:color="auto"/>
        <w:left w:val="none" w:sz="0" w:space="0" w:color="auto"/>
        <w:bottom w:val="none" w:sz="0" w:space="0" w:color="auto"/>
        <w:right w:val="none" w:sz="0" w:space="0" w:color="auto"/>
      </w:divBdr>
    </w:div>
    <w:div w:id="1261181131">
      <w:bodyDiv w:val="1"/>
      <w:marLeft w:val="0"/>
      <w:marRight w:val="0"/>
      <w:marTop w:val="0"/>
      <w:marBottom w:val="0"/>
      <w:divBdr>
        <w:top w:val="none" w:sz="0" w:space="0" w:color="auto"/>
        <w:left w:val="none" w:sz="0" w:space="0" w:color="auto"/>
        <w:bottom w:val="none" w:sz="0" w:space="0" w:color="auto"/>
        <w:right w:val="none" w:sz="0" w:space="0" w:color="auto"/>
      </w:divBdr>
    </w:div>
    <w:div w:id="1539732657">
      <w:bodyDiv w:val="1"/>
      <w:marLeft w:val="0"/>
      <w:marRight w:val="0"/>
      <w:marTop w:val="0"/>
      <w:marBottom w:val="0"/>
      <w:divBdr>
        <w:top w:val="none" w:sz="0" w:space="0" w:color="auto"/>
        <w:left w:val="none" w:sz="0" w:space="0" w:color="auto"/>
        <w:bottom w:val="none" w:sz="0" w:space="0" w:color="auto"/>
        <w:right w:val="none" w:sz="0" w:space="0" w:color="auto"/>
      </w:divBdr>
    </w:div>
    <w:div w:id="1614089557">
      <w:bodyDiv w:val="1"/>
      <w:marLeft w:val="0"/>
      <w:marRight w:val="0"/>
      <w:marTop w:val="0"/>
      <w:marBottom w:val="0"/>
      <w:divBdr>
        <w:top w:val="none" w:sz="0" w:space="0" w:color="auto"/>
        <w:left w:val="none" w:sz="0" w:space="0" w:color="auto"/>
        <w:bottom w:val="none" w:sz="0" w:space="0" w:color="auto"/>
        <w:right w:val="none" w:sz="0" w:space="0" w:color="auto"/>
      </w:divBdr>
    </w:div>
    <w:div w:id="2132085437">
      <w:bodyDiv w:val="1"/>
      <w:marLeft w:val="0"/>
      <w:marRight w:val="0"/>
      <w:marTop w:val="0"/>
      <w:marBottom w:val="0"/>
      <w:divBdr>
        <w:top w:val="none" w:sz="0" w:space="0" w:color="auto"/>
        <w:left w:val="none" w:sz="0" w:space="0" w:color="auto"/>
        <w:bottom w:val="none" w:sz="0" w:space="0" w:color="auto"/>
        <w:right w:val="none" w:sz="0" w:space="0" w:color="auto"/>
      </w:divBdr>
      <w:divsChild>
        <w:div w:id="2036541252">
          <w:marLeft w:val="0"/>
          <w:marRight w:val="0"/>
          <w:marTop w:val="0"/>
          <w:marBottom w:val="0"/>
          <w:divBdr>
            <w:top w:val="none" w:sz="0" w:space="0" w:color="auto"/>
            <w:left w:val="none" w:sz="0" w:space="0" w:color="auto"/>
            <w:bottom w:val="none" w:sz="0" w:space="0" w:color="auto"/>
            <w:right w:val="none" w:sz="0" w:space="0" w:color="auto"/>
          </w:divBdr>
          <w:divsChild>
            <w:div w:id="411204206">
              <w:marLeft w:val="0"/>
              <w:marRight w:val="0"/>
              <w:marTop w:val="0"/>
              <w:marBottom w:val="0"/>
              <w:divBdr>
                <w:top w:val="none" w:sz="0" w:space="0" w:color="auto"/>
                <w:left w:val="none" w:sz="0" w:space="0" w:color="auto"/>
                <w:bottom w:val="none" w:sz="0" w:space="0" w:color="auto"/>
                <w:right w:val="none" w:sz="0" w:space="0" w:color="auto"/>
              </w:divBdr>
            </w:div>
          </w:divsChild>
        </w:div>
        <w:div w:id="1786271630">
          <w:marLeft w:val="0"/>
          <w:marRight w:val="0"/>
          <w:marTop w:val="0"/>
          <w:marBottom w:val="75"/>
          <w:divBdr>
            <w:top w:val="none" w:sz="0" w:space="0" w:color="auto"/>
            <w:left w:val="none" w:sz="0" w:space="0" w:color="auto"/>
            <w:bottom w:val="single" w:sz="6" w:space="15" w:color="B6B6BC"/>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2137529769">
          <w:marLeft w:val="0"/>
          <w:marRight w:val="0"/>
          <w:marTop w:val="0"/>
          <w:marBottom w:val="0"/>
          <w:divBdr>
            <w:top w:val="none" w:sz="0" w:space="0" w:color="auto"/>
            <w:left w:val="none" w:sz="0" w:space="0" w:color="auto"/>
            <w:bottom w:val="none" w:sz="0" w:space="0" w:color="auto"/>
            <w:right w:val="none" w:sz="0" w:space="0" w:color="auto"/>
          </w:divBdr>
          <w:divsChild>
            <w:div w:id="1178540764">
              <w:marLeft w:val="0"/>
              <w:marRight w:val="0"/>
              <w:marTop w:val="0"/>
              <w:marBottom w:val="0"/>
              <w:divBdr>
                <w:top w:val="none" w:sz="0" w:space="0" w:color="auto"/>
                <w:left w:val="none" w:sz="0" w:space="0" w:color="auto"/>
                <w:bottom w:val="none" w:sz="0" w:space="0" w:color="auto"/>
                <w:right w:val="none" w:sz="0" w:space="0" w:color="auto"/>
              </w:divBdr>
            </w:div>
          </w:divsChild>
        </w:div>
        <w:div w:id="213879295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2025-06-09T01:41:00Z</dcterms:created>
  <dcterms:modified xsi:type="dcterms:W3CDTF">2025-06-09T01:41:00Z</dcterms:modified>
</cp:coreProperties>
</file>