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3CF" w:rsidRPr="003E03CF" w:rsidRDefault="003E03CF" w:rsidP="003E03CF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vi-VN"/>
        </w:rPr>
      </w:pPr>
      <w:r w:rsidRPr="003E03CF">
        <w:rPr>
          <w:rFonts w:eastAsia="Times New Roman" w:cs="Times New Roman"/>
          <w:b/>
          <w:sz w:val="26"/>
          <w:szCs w:val="26"/>
          <w:lang w:val="vi-VN"/>
        </w:rPr>
        <w:t>PHỤ LỤC</w:t>
      </w:r>
    </w:p>
    <w:p w:rsidR="003E03CF" w:rsidRPr="003E03CF" w:rsidRDefault="003E03CF" w:rsidP="003E03CF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3E03CF">
        <w:rPr>
          <w:rFonts w:eastAsia="Times New Roman" w:cs="Times New Roman"/>
          <w:b/>
          <w:sz w:val="26"/>
          <w:szCs w:val="26"/>
          <w:lang w:val="vi-VN"/>
        </w:rPr>
        <w:t>DANH MỤC CÁC NHIỆM VỤ THỰC HIỆN</w:t>
      </w:r>
      <w:r w:rsidRPr="003E03CF">
        <w:rPr>
          <w:rFonts w:eastAsia="Times New Roman" w:cs="Times New Roman"/>
          <w:b/>
          <w:sz w:val="26"/>
          <w:szCs w:val="26"/>
        </w:rPr>
        <w:t xml:space="preserve"> CHIẾN LƯỢC PHÁT TRIỂN </w:t>
      </w:r>
    </w:p>
    <w:p w:rsidR="003E03CF" w:rsidRPr="003E03CF" w:rsidRDefault="003E03CF" w:rsidP="003E03CF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3E03CF">
        <w:rPr>
          <w:rFonts w:eastAsia="Times New Roman" w:cs="Times New Roman"/>
          <w:b/>
          <w:sz w:val="26"/>
          <w:szCs w:val="26"/>
        </w:rPr>
        <w:t xml:space="preserve">THỐNG KÊ VIỆT NAM GIAI ĐOẠN 2021-2030, TẦM NHÌN ĐẾN NĂM 2045 </w:t>
      </w:r>
    </w:p>
    <w:p w:rsidR="003E03CF" w:rsidRPr="003E03CF" w:rsidRDefault="003E03CF" w:rsidP="003E03CF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vi-VN"/>
        </w:rPr>
      </w:pPr>
      <w:r w:rsidRPr="003E03CF">
        <w:rPr>
          <w:rFonts w:eastAsia="Times New Roman" w:cs="Times New Roman"/>
          <w:b/>
          <w:sz w:val="26"/>
          <w:szCs w:val="26"/>
        </w:rPr>
        <w:t>TRÊN ĐỊA BÀN THÀNH PHỐ HẢI PHÒNG</w:t>
      </w:r>
    </w:p>
    <w:p w:rsidR="003E03CF" w:rsidRPr="003E03CF" w:rsidRDefault="003E03CF" w:rsidP="003E03CF">
      <w:pPr>
        <w:spacing w:before="60" w:after="60" w:line="340" w:lineRule="exact"/>
        <w:jc w:val="center"/>
        <w:rPr>
          <w:rFonts w:eastAsia="Times New Roman" w:cs="Times New Roman"/>
          <w:i/>
          <w:sz w:val="26"/>
          <w:szCs w:val="26"/>
          <w:lang w:val="vi-VN"/>
        </w:rPr>
      </w:pPr>
      <w:r w:rsidRPr="003E03CF">
        <w:rPr>
          <w:rFonts w:eastAsia="Times New Roman" w:cs="Times New Roman"/>
          <w:i/>
          <w:sz w:val="26"/>
          <w:szCs w:val="26"/>
          <w:lang w:val="vi-VN"/>
        </w:rPr>
        <w:t>(Ban hành kèm theo Kế hoạch số               /KH-</w:t>
      </w:r>
      <w:r w:rsidRPr="003E03CF">
        <w:rPr>
          <w:rFonts w:eastAsia="Times New Roman" w:cs="Times New Roman"/>
          <w:i/>
          <w:sz w:val="26"/>
          <w:szCs w:val="26"/>
        </w:rPr>
        <w:t>SGDĐT</w:t>
      </w:r>
      <w:r w:rsidRPr="003E03CF">
        <w:rPr>
          <w:rFonts w:eastAsia="Times New Roman" w:cs="Times New Roman"/>
          <w:i/>
          <w:sz w:val="26"/>
          <w:szCs w:val="26"/>
          <w:lang w:val="vi-VN"/>
        </w:rPr>
        <w:t xml:space="preserve"> ngày       /</w:t>
      </w:r>
      <w:r w:rsidRPr="003E03CF">
        <w:rPr>
          <w:rFonts w:eastAsia="Times New Roman" w:cs="Times New Roman"/>
          <w:i/>
          <w:sz w:val="26"/>
          <w:szCs w:val="26"/>
        </w:rPr>
        <w:t>5</w:t>
      </w:r>
      <w:r w:rsidRPr="003E03CF">
        <w:rPr>
          <w:rFonts w:eastAsia="Times New Roman" w:cs="Times New Roman"/>
          <w:i/>
          <w:sz w:val="26"/>
          <w:szCs w:val="26"/>
          <w:lang w:val="vi-VN"/>
        </w:rPr>
        <w:t>/202</w:t>
      </w:r>
      <w:r w:rsidRPr="003E03CF">
        <w:rPr>
          <w:rFonts w:eastAsia="Times New Roman" w:cs="Times New Roman"/>
          <w:i/>
          <w:sz w:val="26"/>
          <w:szCs w:val="26"/>
        </w:rPr>
        <w:t>3</w:t>
      </w:r>
      <w:r w:rsidRPr="003E03CF">
        <w:rPr>
          <w:rFonts w:eastAsia="Times New Roman" w:cs="Times New Roman"/>
          <w:i/>
          <w:sz w:val="26"/>
          <w:szCs w:val="26"/>
          <w:lang w:val="vi-VN"/>
        </w:rPr>
        <w:t xml:space="preserve"> của </w:t>
      </w:r>
      <w:r w:rsidRPr="003E03CF">
        <w:rPr>
          <w:rFonts w:eastAsia="Times New Roman" w:cs="Times New Roman"/>
          <w:i/>
          <w:sz w:val="26"/>
          <w:szCs w:val="26"/>
        </w:rPr>
        <w:t>Sở GDĐT)</w:t>
      </w:r>
    </w:p>
    <w:p w:rsidR="003E03CF" w:rsidRPr="003E03CF" w:rsidRDefault="003E03CF" w:rsidP="003E03CF">
      <w:pPr>
        <w:spacing w:before="60" w:after="60" w:line="340" w:lineRule="exact"/>
        <w:ind w:firstLine="567"/>
        <w:jc w:val="both"/>
        <w:rPr>
          <w:rFonts w:eastAsia="Times New Roman" w:cs="Times New Roman"/>
          <w:sz w:val="26"/>
          <w:szCs w:val="26"/>
          <w:lang w:val="vi-VN"/>
        </w:rPr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3426"/>
        <w:gridCol w:w="732"/>
        <w:gridCol w:w="1683"/>
        <w:gridCol w:w="1683"/>
        <w:gridCol w:w="998"/>
        <w:gridCol w:w="1188"/>
        <w:gridCol w:w="4682"/>
      </w:tblGrid>
      <w:tr w:rsidR="003E03CF" w:rsidRPr="00832007" w:rsidTr="00F01BA1">
        <w:trPr>
          <w:trHeight w:hRule="exact" w:val="763"/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Nội dung công việc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Mã số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Cơ quan thực hiện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Thời gian thực hiện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Sản phẩm chính</w:t>
            </w:r>
          </w:p>
        </w:tc>
      </w:tr>
      <w:tr w:rsidR="00551DE0" w:rsidRPr="00832007" w:rsidTr="00F01BA1">
        <w:trPr>
          <w:trHeight w:hRule="exact" w:val="1330"/>
          <w:tblHeader/>
          <w:jc w:val="center"/>
        </w:trPr>
        <w:tc>
          <w:tcPr>
            <w:tcW w:w="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Chủ trì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Phối hợp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Thời gian bắt đầu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Thời gian hoàn thành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3E03CF" w:rsidRPr="00832007" w:rsidTr="003E03CF">
        <w:trPr>
          <w:trHeight w:hRule="exact" w:val="68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</w:p>
        </w:tc>
        <w:tc>
          <w:tcPr>
            <w:tcW w:w="143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CÁC NHÓM NHIỆM VỤ VÀ GIẢI PHÁP</w:t>
            </w:r>
          </w:p>
        </w:tc>
      </w:tr>
      <w:tr w:rsidR="00551DE0" w:rsidRPr="00832007" w:rsidTr="00F01BA1">
        <w:trPr>
          <w:trHeight w:hRule="exact" w:val="112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83200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Hoàn thiện thể chế, đổi mới mô hình tổ chức, phát triển nguồn nhân lực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551DE0" w:rsidRPr="00832007" w:rsidTr="00F01BA1">
        <w:trPr>
          <w:trHeight w:hRule="exact" w:val="155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1.</w:t>
            </w:r>
            <w:r w:rsidRPr="003E03CF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832007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32007">
              <w:rPr>
                <w:rFonts w:eastAsia="Times New Roman" w:cs="Times New Roman"/>
                <w:sz w:val="26"/>
                <w:szCs w:val="26"/>
              </w:rPr>
              <w:t xml:space="preserve">Kiện toàn đội ngũ thống kê sở, ban, ngành; củng cố nhân lực thống kê cho sở, ban, ngành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3E03CF">
              <w:rPr>
                <w:rFonts w:eastAsia="Times New Roman" w:cs="Times New Roman"/>
                <w:sz w:val="26"/>
                <w:szCs w:val="26"/>
              </w:rPr>
              <w:t>Văn phòng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>Các phòng 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</w:t>
            </w:r>
            <w:r w:rsidRPr="003E03CF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tabs>
                <w:tab w:val="left" w:pos="240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>Đ</w:t>
            </w: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ề xuất bổ sung nhân lực</w:t>
            </w:r>
            <w:r w:rsidRPr="003E03CF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làm công tác thống kê</w:t>
            </w:r>
          </w:p>
        </w:tc>
      </w:tr>
      <w:tr w:rsidR="00551DE0" w:rsidRPr="00832007" w:rsidTr="00F01BA1">
        <w:trPr>
          <w:trHeight w:hRule="exact" w:val="188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1.2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832007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32007">
              <w:rPr>
                <w:rFonts w:eastAsia="Times New Roman" w:cs="Times New Roman"/>
                <w:sz w:val="26"/>
                <w:szCs w:val="26"/>
              </w:rPr>
              <w:t xml:space="preserve">Cử công chức tham gia các khóa đào tạo, bồi dưỡng cho người làm công tác thống kê </w:t>
            </w:r>
            <w:r w:rsidRPr="003E03CF">
              <w:rPr>
                <w:rFonts w:eastAsia="Times New Roman" w:cs="Times New Roman"/>
                <w:sz w:val="26"/>
                <w:szCs w:val="26"/>
              </w:rPr>
              <w:t xml:space="preserve">do Bộ, Ngành </w:t>
            </w:r>
            <w:r w:rsidRPr="00832007">
              <w:rPr>
                <w:rFonts w:eastAsia="Times New Roman" w:cs="Times New Roman"/>
                <w:sz w:val="26"/>
                <w:szCs w:val="26"/>
              </w:rPr>
              <w:t>và UBND thành phố tổ chức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012</w:t>
            </w:r>
          </w:p>
          <w:p w:rsidR="003E03CF" w:rsidRPr="003E03CF" w:rsidRDefault="003E03CF" w:rsidP="003E03CF">
            <w:pPr>
              <w:widowControl w:val="0"/>
              <w:spacing w:after="0" w:line="240" w:lineRule="auto"/>
              <w:ind w:firstLine="160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>Văn phòng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>Các phòng chuyên môn, đơn vị thuộc Sở;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Hằng năm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tabs>
                <w:tab w:val="left" w:pos="216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Số lượt công chức, viên chức tham dự các khóa học, lớp bồi dưỡng.</w:t>
            </w:r>
          </w:p>
        </w:tc>
      </w:tr>
      <w:tr w:rsidR="00551DE0" w:rsidRPr="00832007" w:rsidTr="00F01BA1">
        <w:trPr>
          <w:trHeight w:hRule="exact" w:val="131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>1.</w:t>
            </w:r>
            <w:r w:rsidRPr="003E03CF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832007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832007">
              <w:rPr>
                <w:rFonts w:eastAsia="Times New Roman" w:cs="Times New Roman"/>
                <w:sz w:val="26"/>
                <w:szCs w:val="26"/>
              </w:rPr>
              <w:t>Rà soát, đánh giá hiện trạng và xác định nhu cầu đào tạo, bồi dưỡng nguồn nhân lực làm công tác thống kê tại sở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ind w:firstLine="160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>Văn phòng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>Các phòng 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Hằng năm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Báo cáo rà soát, đánh giá hiện trạng và nhu cầu đào tạo nhân lực thống kê</w:t>
            </w:r>
          </w:p>
        </w:tc>
      </w:tr>
      <w:tr w:rsidR="00551DE0" w:rsidRPr="00832007" w:rsidTr="00F01BA1">
        <w:trPr>
          <w:trHeight w:hRule="exact" w:val="70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Áp dụng thống nhất các tiêu chuẩn thống kê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551DE0" w:rsidRPr="00832007" w:rsidTr="00F01BA1">
        <w:trPr>
          <w:trHeight w:hRule="exact" w:val="133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2.1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Triển khai áp dụng tiêu chuẩn thống kê do Bộ ban hành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>Phòng Kế hoạch - Tài chính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>Các phòng 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>S</w:t>
            </w: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ố tiêu chuẩn thống kê ban hành được triển khai áp dụng.</w:t>
            </w:r>
          </w:p>
        </w:tc>
      </w:tr>
      <w:tr w:rsidR="00551DE0" w:rsidRPr="00832007" w:rsidTr="00F01BA1">
        <w:trPr>
          <w:trHeight w:hRule="exact" w:val="119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2.2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 xml:space="preserve">Cử công chức tham gia </w:t>
            </w: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các lớp tập huấn về các quy trình thống kê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>Văn phòng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>Các phòng 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tabs>
                <w:tab w:val="left" w:pos="226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Số </w:t>
            </w:r>
            <w:r w:rsidRPr="003E03CF">
              <w:rPr>
                <w:rFonts w:eastAsia="Times New Roman" w:cs="Times New Roman"/>
                <w:sz w:val="26"/>
                <w:szCs w:val="26"/>
              </w:rPr>
              <w:t xml:space="preserve">lượt công chức tham gia </w:t>
            </w: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lớp tập huấn về các quy trình sản xuất thông tin thống kê</w:t>
            </w:r>
          </w:p>
        </w:tc>
      </w:tr>
      <w:tr w:rsidR="00551DE0" w:rsidRPr="00832007" w:rsidTr="00F01BA1">
        <w:trPr>
          <w:trHeight w:hRule="exact" w:val="154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2.3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>Phối hợp t</w:t>
            </w: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riển khai các hoạt động thống kê bảo đảm đúng các bước của quy trình thống kê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 xml:space="preserve">Phòng Kế hoạch - Tài chính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E03CF">
              <w:rPr>
                <w:rFonts w:eastAsia="Times New Roman" w:cs="Times New Roman"/>
                <w:sz w:val="26"/>
                <w:szCs w:val="26"/>
              </w:rPr>
              <w:t>Các phòng 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Các quy trình thống kê được triển khai áp dụng thống nhất</w:t>
            </w:r>
          </w:p>
        </w:tc>
      </w:tr>
      <w:tr w:rsidR="00551DE0" w:rsidRPr="00832007" w:rsidTr="00F01BA1">
        <w:trPr>
          <w:trHeight w:hRule="exact" w:val="88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Hiện đại hóa hoạt động thu thập, xử lý và quản trị dữ liệu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551DE0" w:rsidRPr="00832007" w:rsidTr="00F01BA1">
        <w:trPr>
          <w:trHeight w:hRule="exact" w:val="20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lastRenderedPageBreak/>
              <w:t>3.1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Đa dạng hoá hình thức thu thập thông tin thống kê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ác phòng </w:t>
            </w:r>
            <w:r w:rsidRPr="00832007">
              <w:rPr>
                <w:rFonts w:eastAsia="Times New Roman" w:cs="Times New Roman"/>
                <w:sz w:val="26"/>
                <w:szCs w:val="26"/>
              </w:rPr>
              <w:t xml:space="preserve">chuyên môn, đơn vị trực 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>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Các đơn vị liên quan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numPr>
                <w:ilvl w:val="0"/>
                <w:numId w:val="1"/>
              </w:numPr>
              <w:tabs>
                <w:tab w:val="left" w:pos="221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Sử dụng các phần mềm phục vụ thu thập thông tin thống kê</w:t>
            </w: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footnoteReference w:id="1"/>
            </w: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;</w:t>
            </w:r>
          </w:p>
          <w:p w:rsidR="003E03CF" w:rsidRPr="003E03CF" w:rsidRDefault="003E03CF" w:rsidP="003E03CF">
            <w:pPr>
              <w:widowControl w:val="0"/>
              <w:numPr>
                <w:ilvl w:val="0"/>
                <w:numId w:val="1"/>
              </w:numPr>
              <w:tabs>
                <w:tab w:val="left" w:pos="226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Số lượng các cuộc điều tra sử dụng phiếu điều tra điện tử thay cho phiếu giấy.</w:t>
            </w:r>
          </w:p>
        </w:tc>
      </w:tr>
      <w:tr w:rsidR="00551DE0" w:rsidRPr="00832007" w:rsidTr="00F01BA1">
        <w:trPr>
          <w:trHeight w:hRule="exact" w:val="197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3.2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Ứng dụng công nghệ tiên tiến, hiện đại trong xử lý thống kê; ứng dụng công nghệ thông tin trong việc kiểm tra, giám sát, xử lý thông tin thống kê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F01BA1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03</w:t>
            </w:r>
            <w:r w:rsidR="003E03CF"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F01BA1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ác phòng </w:t>
            </w:r>
            <w:r w:rsidRPr="00832007">
              <w:rPr>
                <w:rFonts w:eastAsia="Times New Roman" w:cs="Times New Roman"/>
                <w:sz w:val="26"/>
                <w:szCs w:val="26"/>
              </w:rPr>
              <w:t xml:space="preserve">chuyên môn, đơn vị trực 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>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Các đơn vị liên quan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numPr>
                <w:ilvl w:val="0"/>
                <w:numId w:val="2"/>
              </w:numPr>
              <w:tabs>
                <w:tab w:val="left" w:pos="182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Hệ thống xử lý thông tin thống kê;</w:t>
            </w:r>
          </w:p>
          <w:p w:rsidR="003E03CF" w:rsidRPr="003E03CF" w:rsidRDefault="003E03CF" w:rsidP="003E03CF">
            <w:pPr>
              <w:widowControl w:val="0"/>
              <w:numPr>
                <w:ilvl w:val="0"/>
                <w:numId w:val="2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Các hệ thống công nghệ thông tin (phần cứng, phần mềm) phục vụ tất cả các bước thu thập, giám sát và xử lý thông tin thống kê.</w:t>
            </w:r>
          </w:p>
        </w:tc>
      </w:tr>
      <w:tr w:rsidR="00551DE0" w:rsidRPr="00832007" w:rsidTr="00F01BA1">
        <w:trPr>
          <w:trHeight w:hRule="exact" w:val="142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3.3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Tham gia xây dựng và thường xuyên cập nhật cơ chế cung cấp, chia sẻ thông tin thống kê giữa Sở với Cục Thống kê thành phố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F01BA1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F01BA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Phòng Kế hoạch - Tài chính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Các phòng 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Thực hiện cơ chế cung cấp, chia sẻ thông tin thống kê giữa Sở với Cục Thống kê theo chức năng, nhiệm vụ được giao</w:t>
            </w:r>
          </w:p>
        </w:tc>
      </w:tr>
      <w:tr w:rsidR="00551DE0" w:rsidRPr="00832007" w:rsidTr="00F01BA1">
        <w:trPr>
          <w:trHeight w:hRule="exact" w:val="198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F01BA1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lastRenderedPageBreak/>
              <w:t>3.4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Phối hợp rà soát, đánh giá và xác định danh mục dữ liệu mở; đề xuất giải pháp sử dụng dữ liệu mở phục vụ công tác thống kê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F01BA1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F01BA1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ác phòng </w:t>
            </w:r>
            <w:r w:rsidRPr="00832007">
              <w:rPr>
                <w:rFonts w:eastAsia="Times New Roman" w:cs="Times New Roman"/>
                <w:sz w:val="26"/>
                <w:szCs w:val="26"/>
              </w:rPr>
              <w:t xml:space="preserve">chuyên môn, đơn vị trực 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>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Các đơn vị liên quan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Danh mục dữ liệu mở phục vụ công tác thống kê;</w:t>
            </w:r>
          </w:p>
          <w:p w:rsidR="003E03CF" w:rsidRPr="003E03CF" w:rsidRDefault="003E03CF" w:rsidP="003E03CF">
            <w:pPr>
              <w:widowControl w:val="0"/>
              <w:numPr>
                <w:ilvl w:val="0"/>
                <w:numId w:val="3"/>
              </w:numPr>
              <w:tabs>
                <w:tab w:val="left" w:pos="163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Giải pháp sử dụng dữ liệu mở của cơ quan nhà nước phục vụ công tác thống kê.</w:t>
            </w:r>
          </w:p>
        </w:tc>
      </w:tr>
      <w:tr w:rsidR="00551DE0" w:rsidRPr="00832007" w:rsidTr="00832007">
        <w:trPr>
          <w:trHeight w:hRule="exact" w:val="132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Đổi mới hoạt động xác định nhu cầu, phân tích, dự báo, biên soạn và phổ biến thông tin thống kê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551DE0" w:rsidRPr="00832007" w:rsidTr="00832007">
        <w:trPr>
          <w:trHeight w:hRule="exact" w:val="159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4.1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Rà soát lại các chỉ tiêu được biên soạn trong báo cáo kinh tế - xã hội tháng, quý, năm theo hệ thống chỉ tiêu thống kê cấp tỉnh, được ban hành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F01BA1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04</w:t>
            </w:r>
            <w:r w:rsidR="003E03CF"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F01BA1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Phòng Kế hoạch - Tài chính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Các phòng 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F01BA1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Danh mục chỉ tiêu kinh tế - xã hội được rà soát theo hệ thống chỉ tiêu thống kê </w:t>
            </w:r>
          </w:p>
        </w:tc>
      </w:tr>
      <w:tr w:rsidR="00551DE0" w:rsidRPr="00832007" w:rsidTr="00F01BA1">
        <w:trPr>
          <w:trHeight w:hRule="exact" w:val="181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F01BA1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4.2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Sử dụng mạng xã hội (facebook, zalo), phương tiện truyền thông, trang web của Sở để phổ biến thông tin thống kê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F01BA1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Văn phòng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F01BA1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ác phòng </w:t>
            </w:r>
            <w:r w:rsidRPr="00832007">
              <w:rPr>
                <w:rFonts w:eastAsia="Times New Roman" w:cs="Times New Roman"/>
                <w:sz w:val="26"/>
                <w:szCs w:val="26"/>
              </w:rPr>
              <w:t xml:space="preserve">chuyên môn, đơn vị trực 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>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Hằng năm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numPr>
                <w:ilvl w:val="0"/>
                <w:numId w:val="4"/>
              </w:numPr>
              <w:tabs>
                <w:tab w:val="left" w:pos="192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Thông tin thống kê được phổ biến bằng hình thức mới;</w:t>
            </w:r>
          </w:p>
          <w:p w:rsidR="003E03CF" w:rsidRPr="003E03CF" w:rsidRDefault="003E03CF" w:rsidP="003E03CF">
            <w:pPr>
              <w:widowControl w:val="0"/>
              <w:numPr>
                <w:ilvl w:val="0"/>
                <w:numId w:val="4"/>
              </w:numPr>
              <w:tabs>
                <w:tab w:val="left" w:pos="221"/>
              </w:tabs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Thông tin thống kê của bộ, ngành được tích hợp, chia sẻ.</w:t>
            </w:r>
          </w:p>
        </w:tc>
      </w:tr>
      <w:tr w:rsidR="00551DE0" w:rsidRPr="00832007" w:rsidTr="00F01BA1">
        <w:trPr>
          <w:trHeight w:hRule="exact" w:val="181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F01BA1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lastRenderedPageBreak/>
              <w:t>4.3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Phổ biến các thông tin thống kê theo các chỉ tiêu thống kê mới được quy định trong Quyết định ban hành hệ thống chỉ tiêu thống kê cấp tỉnh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Phòng</w:t>
            </w:r>
            <w:r w:rsidR="00F01BA1"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Kế hoạch - Tài chính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F01BA1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ác phòng </w:t>
            </w:r>
            <w:r w:rsidRPr="00832007">
              <w:rPr>
                <w:rFonts w:eastAsia="Times New Roman" w:cs="Times New Roman"/>
                <w:sz w:val="26"/>
                <w:szCs w:val="26"/>
              </w:rPr>
              <w:t xml:space="preserve">chuyên môn, đơn vị trực 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>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Hằng năm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Thông tin thống kê các chỉ tiêu mới được phổ biến trong các ấn phẩm thống kê: Tài liệu phổ biến thông tin thống kê hằng năm; Niên giám thống kê</w:t>
            </w:r>
          </w:p>
        </w:tc>
      </w:tr>
      <w:tr w:rsidR="00551DE0" w:rsidRPr="00832007" w:rsidTr="00F01BA1">
        <w:trPr>
          <w:trHeight w:hRule="exact" w:val="181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4.4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Cử công chức, viên chức tham gia các cuộc hội nghị phổ biến kiến thức thống kê, tập huấn chuyên đề, chuyên môn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Văn phòng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ác phòng </w:t>
            </w:r>
            <w:r w:rsidRPr="00832007">
              <w:rPr>
                <w:rFonts w:eastAsia="Times New Roman" w:cs="Times New Roman"/>
                <w:sz w:val="26"/>
                <w:szCs w:val="26"/>
              </w:rPr>
              <w:t xml:space="preserve">chuyên môn, đơn vị trực 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>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Số lượt công chức, viên chức tham gia các cuộc hội nghị phổ biến kiến thức thống kê, tập huấn chuyên đề, chuyên môn</w:t>
            </w:r>
          </w:p>
        </w:tc>
      </w:tr>
      <w:tr w:rsidR="00551DE0" w:rsidRPr="00832007" w:rsidTr="00F01BA1">
        <w:trPr>
          <w:trHeight w:hRule="exact" w:val="68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Đẩy nhanh tư liệu hóa, chuyển đổi số trong công tác thống kê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551DE0" w:rsidRPr="00832007" w:rsidTr="00F01BA1">
        <w:trPr>
          <w:trHeight w:hRule="exact" w:val="181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Rà soát, cập nhật các quy chế, chính sách về công nghệ thông tin để bảo đảm thực hiện tư liệu hóa và chuyển đổi số trong công tác thống kê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Văn phòng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ác phòng </w:t>
            </w:r>
            <w:r w:rsidRPr="00832007">
              <w:rPr>
                <w:rFonts w:eastAsia="Times New Roman" w:cs="Times New Roman"/>
                <w:sz w:val="26"/>
                <w:szCs w:val="26"/>
              </w:rPr>
              <w:t xml:space="preserve">chuyên môn, đơn vị trực 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>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551DE0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Báo cáo tổng kết, đánh giá các quy chế, chính sách về công nghệ thông tin để bảo đảm thực hiện tư liệu hóa và chuyển đổi</w:t>
            </w:r>
            <w:r w:rsidR="00551DE0"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số trong công tác thống kê </w:t>
            </w:r>
          </w:p>
        </w:tc>
      </w:tr>
      <w:tr w:rsidR="00551DE0" w:rsidRPr="00832007" w:rsidTr="00F01BA1">
        <w:trPr>
          <w:trHeight w:hRule="exact" w:val="68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Tăng cường kiểm tra, giám sát, thanh tra chuyên ngành thống kê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551DE0" w:rsidRPr="00832007" w:rsidTr="00F01BA1">
        <w:trPr>
          <w:trHeight w:hRule="exact" w:val="194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Chuẩn bị các báo cáo phục vụ đoàn kiểm tra, thanh tra, giám sát chuyên ngành thống kê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551DE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Phòng Kế hoạch - Tài chính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ác phòng </w:t>
            </w:r>
            <w:r w:rsidRPr="00832007">
              <w:rPr>
                <w:rFonts w:eastAsia="Times New Roman" w:cs="Times New Roman"/>
                <w:sz w:val="26"/>
                <w:szCs w:val="26"/>
              </w:rPr>
              <w:t xml:space="preserve">chuyên môn, đơn vị trực 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>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Hằng năm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Báo cáo phục vụ đoàn kiểm tra, thanh tra, giám sát chuyên ngành thống kê</w:t>
            </w:r>
          </w:p>
        </w:tc>
      </w:tr>
      <w:tr w:rsidR="00551DE0" w:rsidRPr="00832007" w:rsidTr="00F01BA1">
        <w:trPr>
          <w:trHeight w:hRule="exact" w:val="11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7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Tăng cường cơ sở vật chất và huy động các nguồn lực tài chính phục vụ công tác thống kê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551DE0" w:rsidRPr="00832007" w:rsidTr="00F01BA1">
        <w:trPr>
          <w:trHeight w:hRule="exact" w:val="142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551DE0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Đề xuất d</w:t>
            </w:r>
            <w:r w:rsidR="00551DE0"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 xml:space="preserve">ự toán kinh phí thực hiện </w:t>
            </w: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 xml:space="preserve">tăng cường năng lực thống kê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Văn phòng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Các phòng 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Dự toán ngân sách phân bổ cho việc mua sắm phương tiện và trang thiết bị làm công tác thống kê</w:t>
            </w:r>
          </w:p>
        </w:tc>
      </w:tr>
      <w:tr w:rsidR="003E03CF" w:rsidRPr="00832007" w:rsidTr="003E03CF">
        <w:trPr>
          <w:trHeight w:hRule="exact" w:val="68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II</w:t>
            </w:r>
          </w:p>
        </w:tc>
        <w:tc>
          <w:tcPr>
            <w:tcW w:w="1439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CÁC HOẠT ĐỘNG TRIỂN KHAI THỰC HIỆN, THEO DÕI VÀ ĐÁNH GIÁ THỰC  HIỆN CHIẾN LƯỢC</w:t>
            </w:r>
          </w:p>
        </w:tc>
      </w:tr>
      <w:tr w:rsidR="00551DE0" w:rsidRPr="00832007" w:rsidTr="00F01BA1">
        <w:trPr>
          <w:trHeight w:hRule="exact" w:val="145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8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Cử cán bộ tham gia Ban Chỉ đạo và Tổ Thư ký giúp việc thực hiện Chiến lược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Phòng </w:t>
            </w:r>
            <w:r w:rsidR="00551DE0"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Kế  hoạch - Tài chính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Công văn cử cán bộ tham gia Ban Chỉ đạo và Tổ Thư ký giúp việc thực hiện Chiến lược</w:t>
            </w:r>
          </w:p>
        </w:tc>
      </w:tr>
      <w:tr w:rsidR="00551DE0" w:rsidRPr="00832007" w:rsidTr="00F01BA1">
        <w:trPr>
          <w:trHeight w:hRule="exact" w:val="686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Tổ chức theo dõi, đánh giá và tổng kết thực hiện Chiến lược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  <w:tr w:rsidR="00551DE0" w:rsidRPr="00832007" w:rsidTr="00832007">
        <w:trPr>
          <w:trHeight w:hRule="exact" w:val="272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lastRenderedPageBreak/>
              <w:t>9.1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Báo cáo về tình hình thực hiện Kế hoạch số 202/KH-UBND ngày 23/8/2022 của UBND thành phố triển khai thực hiện Chiến lược phát triển Thống kê Việt Nam giai đoạn 2021-2030, tầm nhìn đến năm 2045 trên địa bàn thành phố Hải Phòng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551DE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Phòng Kế hoạch - Tài chính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ác phòng </w:t>
            </w:r>
            <w:r w:rsidRPr="00832007">
              <w:rPr>
                <w:rFonts w:eastAsia="Times New Roman" w:cs="Times New Roman"/>
                <w:sz w:val="26"/>
                <w:szCs w:val="26"/>
              </w:rPr>
              <w:t xml:space="preserve">chuyên môn, đơn vị trực 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>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2023;</w:t>
            </w:r>
          </w:p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Báo cáo về tình hình thực hiện Kế hoạch số 202/KH-UBND ngày 23/8/2022 của UBND thành phố triển khai thực hiện Chiến lược phát triển Thống kê Việt Nam</w:t>
            </w:r>
          </w:p>
        </w:tc>
      </w:tr>
      <w:tr w:rsidR="00551DE0" w:rsidRPr="00832007" w:rsidTr="00F01BA1">
        <w:trPr>
          <w:trHeight w:hRule="exact" w:val="181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9.2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Sơ kết thực hiện CLTK21-30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551DE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Phòng Kế hoạch - Tài chính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ác phòng </w:t>
            </w:r>
            <w:r w:rsidRPr="00832007">
              <w:rPr>
                <w:rFonts w:eastAsia="Times New Roman" w:cs="Times New Roman"/>
                <w:sz w:val="26"/>
                <w:szCs w:val="26"/>
              </w:rPr>
              <w:t xml:space="preserve">chuyên môn, đơn vị trực 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>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Tháng 9/2025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Tháng 1</w:t>
            </w:r>
            <w:r w:rsidRPr="003E03CF">
              <w:rPr>
                <w:rFonts w:eastAsia="Times New Roman" w:cs="Times New Roman"/>
                <w:sz w:val="26"/>
                <w:szCs w:val="26"/>
              </w:rPr>
              <w:t>1</w:t>
            </w: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Báo cáo sơ kết</w:t>
            </w:r>
          </w:p>
        </w:tc>
      </w:tr>
      <w:tr w:rsidR="00551DE0" w:rsidRPr="00832007" w:rsidTr="00F01BA1">
        <w:trPr>
          <w:trHeight w:hRule="exact" w:val="202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9.3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Tổng kết tình hình thực hiện CLTK21- 30 tại thành phố Hải Phòng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3E03CF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Cs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bCs/>
                <w:sz w:val="26"/>
                <w:szCs w:val="26"/>
                <w:lang w:val="vi-VN"/>
              </w:rPr>
              <w:t>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551DE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Phòng Kế hoạch - Tài chính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551DE0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C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ác phòng </w:t>
            </w:r>
            <w:r w:rsidRPr="00832007">
              <w:rPr>
                <w:rFonts w:eastAsia="Times New Roman" w:cs="Times New Roman"/>
                <w:sz w:val="26"/>
                <w:szCs w:val="26"/>
              </w:rPr>
              <w:t xml:space="preserve">chuyên môn, đơn vị trực </w:t>
            </w:r>
            <w:r w:rsidRPr="00832007">
              <w:rPr>
                <w:rFonts w:eastAsia="Times New Roman" w:cs="Times New Roman"/>
                <w:sz w:val="26"/>
                <w:szCs w:val="26"/>
                <w:lang w:val="vi-VN"/>
              </w:rPr>
              <w:t>thuộc Sở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Tháng 7/2030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Tháng 1</w:t>
            </w:r>
            <w:r w:rsidRPr="003E03CF">
              <w:rPr>
                <w:rFonts w:eastAsia="Times New Roman" w:cs="Times New Roman"/>
                <w:sz w:val="26"/>
                <w:szCs w:val="26"/>
              </w:rPr>
              <w:t>1</w:t>
            </w: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/2030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E03CF">
              <w:rPr>
                <w:rFonts w:eastAsia="Times New Roman" w:cs="Times New Roman"/>
                <w:sz w:val="26"/>
                <w:szCs w:val="26"/>
                <w:lang w:val="vi-VN"/>
              </w:rPr>
              <w:t>Báo cáo tổng kết</w:t>
            </w:r>
          </w:p>
          <w:p w:rsidR="003E03CF" w:rsidRPr="003E03CF" w:rsidRDefault="003E03CF" w:rsidP="003E03CF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3E03CF" w:rsidRPr="003E03CF" w:rsidRDefault="003E03CF" w:rsidP="003E03CF">
      <w:pPr>
        <w:spacing w:after="0" w:line="240" w:lineRule="auto"/>
        <w:rPr>
          <w:rFonts w:eastAsia="Times New Roman" w:cs="Times New Roman"/>
          <w:szCs w:val="24"/>
          <w:lang w:val="vi-VN"/>
        </w:rPr>
      </w:pPr>
    </w:p>
    <w:p w:rsidR="003E03CF" w:rsidRPr="003E03CF" w:rsidRDefault="003E03CF" w:rsidP="003E03CF">
      <w:pPr>
        <w:spacing w:after="0" w:line="240" w:lineRule="auto"/>
        <w:rPr>
          <w:rFonts w:eastAsia="Times New Roman" w:cs="Times New Roman"/>
          <w:szCs w:val="24"/>
          <w:lang w:val="vi-VN"/>
        </w:rPr>
      </w:pPr>
    </w:p>
    <w:p w:rsidR="003E03CF" w:rsidRPr="003E03CF" w:rsidRDefault="003E03CF" w:rsidP="003E03CF">
      <w:pPr>
        <w:spacing w:after="0" w:line="240" w:lineRule="auto"/>
        <w:rPr>
          <w:rFonts w:eastAsia="Times New Roman" w:cs="Times New Roman"/>
          <w:szCs w:val="24"/>
          <w:lang w:val="vi-VN"/>
        </w:rPr>
      </w:pPr>
    </w:p>
    <w:p w:rsidR="003E03CF" w:rsidRPr="003E03CF" w:rsidRDefault="003E03CF" w:rsidP="003E03CF">
      <w:pPr>
        <w:spacing w:after="0" w:line="240" w:lineRule="auto"/>
        <w:rPr>
          <w:rFonts w:eastAsia="Times New Roman" w:cs="Times New Roman"/>
          <w:i/>
          <w:szCs w:val="24"/>
          <w:lang w:val="vi-VN"/>
        </w:rPr>
      </w:pPr>
    </w:p>
    <w:p w:rsidR="003E03CF" w:rsidRPr="003E03CF" w:rsidRDefault="003E03CF" w:rsidP="003E03CF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nl-NL" w:eastAsia="vi-VN"/>
        </w:rPr>
      </w:pPr>
    </w:p>
    <w:p w:rsidR="000C3E00" w:rsidRPr="00832007" w:rsidRDefault="000C3E00">
      <w:pPr>
        <w:rPr>
          <w:rFonts w:cs="Times New Roman"/>
        </w:rPr>
      </w:pPr>
    </w:p>
    <w:sectPr w:rsidR="000C3E00" w:rsidRPr="00832007" w:rsidSect="003E03CF">
      <w:headerReference w:type="default" r:id="rId7"/>
      <w:footerReference w:type="default" r:id="rId8"/>
      <w:footerReference w:type="first" r:id="rId9"/>
      <w:pgSz w:w="16840" w:h="11907" w:orient="landscape" w:code="9"/>
      <w:pgMar w:top="1418" w:right="907" w:bottom="851" w:left="851" w:header="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552" w:rsidRDefault="00721552" w:rsidP="003E03CF">
      <w:pPr>
        <w:spacing w:after="0" w:line="240" w:lineRule="auto"/>
      </w:pPr>
      <w:r>
        <w:separator/>
      </w:r>
    </w:p>
  </w:endnote>
  <w:endnote w:type="continuationSeparator" w:id="0">
    <w:p w:rsidR="00721552" w:rsidRDefault="00721552" w:rsidP="003E0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64E" w:rsidRDefault="00721552" w:rsidP="0013138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64E" w:rsidRDefault="00721552" w:rsidP="00A22B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552" w:rsidRDefault="00721552" w:rsidP="003E03CF">
      <w:pPr>
        <w:spacing w:after="0" w:line="240" w:lineRule="auto"/>
      </w:pPr>
      <w:r>
        <w:separator/>
      </w:r>
    </w:p>
  </w:footnote>
  <w:footnote w:type="continuationSeparator" w:id="0">
    <w:p w:rsidR="00721552" w:rsidRDefault="00721552" w:rsidP="003E03CF">
      <w:pPr>
        <w:spacing w:after="0" w:line="240" w:lineRule="auto"/>
      </w:pPr>
      <w:r>
        <w:continuationSeparator/>
      </w:r>
    </w:p>
  </w:footnote>
  <w:footnote w:id="1">
    <w:p w:rsidR="003E03CF" w:rsidRDefault="003E03CF" w:rsidP="003E03CF">
      <w:pPr>
        <w:pStyle w:val="Footnote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64E" w:rsidRDefault="00721552">
    <w:pPr>
      <w:pStyle w:val="Header"/>
      <w:jc w:val="center"/>
    </w:pPr>
  </w:p>
  <w:p w:rsidR="000C064E" w:rsidRDefault="00721552" w:rsidP="00B605C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2007">
      <w:rPr>
        <w:noProof/>
      </w:rPr>
      <w:t>2</w:t>
    </w:r>
    <w:r>
      <w:rPr>
        <w:noProof/>
      </w:rPr>
      <w:fldChar w:fldCharType="end"/>
    </w:r>
  </w:p>
  <w:p w:rsidR="000C064E" w:rsidRDefault="007215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442"/>
    <w:multiLevelType w:val="multilevel"/>
    <w:tmpl w:val="A878A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557DA"/>
    <w:multiLevelType w:val="multilevel"/>
    <w:tmpl w:val="FC24B5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434BAF"/>
    <w:multiLevelType w:val="multilevel"/>
    <w:tmpl w:val="8BAA5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494C85"/>
    <w:multiLevelType w:val="multilevel"/>
    <w:tmpl w:val="96607D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EC3D4C"/>
    <w:multiLevelType w:val="multilevel"/>
    <w:tmpl w:val="C06EE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CF"/>
    <w:rsid w:val="000C3E00"/>
    <w:rsid w:val="003E03CF"/>
    <w:rsid w:val="00551DE0"/>
    <w:rsid w:val="00721552"/>
    <w:rsid w:val="007A25AE"/>
    <w:rsid w:val="00832007"/>
    <w:rsid w:val="00F0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1B81"/>
  <w15:chartTrackingRefBased/>
  <w15:docId w15:val="{D8237FA6-AB63-4A46-8BBB-4940E839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0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03CF"/>
  </w:style>
  <w:style w:type="paragraph" w:styleId="Footer">
    <w:name w:val="footer"/>
    <w:basedOn w:val="Normal"/>
    <w:link w:val="FooterChar"/>
    <w:uiPriority w:val="99"/>
    <w:semiHidden/>
    <w:unhideWhenUsed/>
    <w:rsid w:val="003E0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3CF"/>
  </w:style>
  <w:style w:type="character" w:customStyle="1" w:styleId="Footnote">
    <w:name w:val="Footnote_"/>
    <w:link w:val="Footnote0"/>
    <w:rsid w:val="003E03CF"/>
  </w:style>
  <w:style w:type="paragraph" w:customStyle="1" w:styleId="Footnote0">
    <w:name w:val="Footnote"/>
    <w:basedOn w:val="Normal"/>
    <w:link w:val="Footnote"/>
    <w:rsid w:val="003E03CF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2023-05-08T11:52:00Z</dcterms:created>
  <dcterms:modified xsi:type="dcterms:W3CDTF">2023-05-08T12:13:00Z</dcterms:modified>
</cp:coreProperties>
</file>